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267" w:rsidRPr="00562BA3" w:rsidRDefault="009A5267" w:rsidP="0056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562B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ИТОГОВЫЙ ОТЧЕТ</w:t>
      </w:r>
    </w:p>
    <w:p w:rsidR="009A5267" w:rsidRPr="00562BA3" w:rsidRDefault="009A5267" w:rsidP="0056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562B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 ВНЕСЕННЫХ ИЗМЕНЕНИЯХ В МЕТОДИЧЕСКОЕ РУКОВОДСТВО</w:t>
      </w:r>
    </w:p>
    <w:p w:rsidR="009A5267" w:rsidRPr="00562BA3" w:rsidRDefault="009A5267" w:rsidP="0056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562B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ПО РЕЗУЛЬТАТАМ ЭКСПЕРТИЗЫ МОДЕЛИ СЕТЕВОГО ВЗАИМОДЕЙСТВИЯ «ШКОЛА </w:t>
      </w:r>
      <w:r w:rsidR="002F00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562B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УНИВЕРСИТЕТ» ДЛЯ РАЗВИТИЯ ОДАРЕННЫХ ДЕТЕЙ ПОСРЕДСТВОМ ИНТЕГРАЦИОННОГО ТРАНСФЕРА ОБРАЗОВАТЕЛЬНЫХ УСЛУГ И СОВРЕМЕННЫХ ПЕДАГОГИЧЕСКИХ ТЕХНОЛОГИЙ</w:t>
      </w:r>
    </w:p>
    <w:p w:rsidR="009A5267" w:rsidRPr="00A861AD" w:rsidRDefault="009A5267" w:rsidP="00A86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(далее </w:t>
      </w:r>
      <w:r w:rsidR="002F00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A8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МР)</w:t>
      </w:r>
    </w:p>
    <w:p w:rsidR="009A5267" w:rsidRPr="00A861AD" w:rsidRDefault="009A5267" w:rsidP="00A86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Pr="00A861AD" w:rsidRDefault="009A5267" w:rsidP="00A86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Авторы: </w:t>
      </w:r>
      <w:proofErr w:type="spellStart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Сатанов</w:t>
      </w:r>
      <w:proofErr w:type="spellEnd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А. Б., Котов С. О., </w:t>
      </w:r>
      <w:proofErr w:type="spellStart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Махметов</w:t>
      </w:r>
      <w:proofErr w:type="spellEnd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А. Е., </w:t>
      </w:r>
      <w:proofErr w:type="spellStart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Абишева</w:t>
      </w:r>
      <w:proofErr w:type="spellEnd"/>
      <w:r w:rsidRPr="00A861A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Г. А.</w:t>
      </w:r>
    </w:p>
    <w:p w:rsidR="009A5267" w:rsidRPr="009A5267" w:rsidRDefault="009A5267" w:rsidP="009A5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8"/>
        </w:rPr>
      </w:pPr>
    </w:p>
    <w:p w:rsidR="009A5267" w:rsidRDefault="009A5267" w:rsidP="00A86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A861AD" w:rsidRPr="00A861AD" w:rsidRDefault="00A861AD" w:rsidP="00A861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Pr="00A861AD" w:rsidRDefault="009A5267" w:rsidP="00A861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Коллектив авторов выражает благодарность экспертам за внимательное изучение методического руководства, содержательные замечания и профессиональные рекомендации.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Представленные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предложения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позволили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: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уточнить предмет апробации;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конкретизировать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механизмы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сетевого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взаимодействия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;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устранить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внутренние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несогласованности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;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повысить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практическую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направленность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руководства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;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разграничить образовательные результаты обучающихся и сетевые эффекты взаимодействия;</w:t>
      </w:r>
    </w:p>
    <w:p w:rsidR="009A5267" w:rsidRPr="00A861AD" w:rsidRDefault="009A5267" w:rsidP="00A861AD">
      <w:pPr>
        <w:pStyle w:val="a4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обеспечить логическую связанность всех разделов документа.</w:t>
      </w:r>
    </w:p>
    <w:p w:rsidR="009A5267" w:rsidRPr="00A861AD" w:rsidRDefault="009A5267" w:rsidP="00A861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В настоящем отчете представлены систематизированные ответы на каждое замечание экспертов с указанием конкретных изменений, внесенных в итоговую редакцию МР, и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их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обоснованием</w:t>
      </w:r>
      <w:proofErr w:type="spellEnd"/>
      <w:r w:rsidRPr="00A861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:rsidR="009A5267" w:rsidRPr="009A5267" w:rsidRDefault="009A5267" w:rsidP="009A5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8"/>
        </w:rPr>
      </w:pPr>
    </w:p>
    <w:p w:rsidR="009A5267" w:rsidRDefault="009A5267" w:rsidP="0056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562B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ОСНОВНАЯ ТАБЛИЦА ЗАМЕЧАНИЙ И ОТВЕТОВ</w:t>
      </w:r>
    </w:p>
    <w:p w:rsidR="00A861AD" w:rsidRDefault="00A861AD" w:rsidP="00562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Style w:val="a5"/>
        <w:tblW w:w="13562" w:type="dxa"/>
        <w:jc w:val="center"/>
        <w:tblLook w:val="04A0" w:firstRow="1" w:lastRow="0" w:firstColumn="1" w:lastColumn="0" w:noHBand="0" w:noVBand="1"/>
      </w:tblPr>
      <w:tblGrid>
        <w:gridCol w:w="373"/>
        <w:gridCol w:w="806"/>
        <w:gridCol w:w="1600"/>
        <w:gridCol w:w="1550"/>
        <w:gridCol w:w="1186"/>
        <w:gridCol w:w="1347"/>
        <w:gridCol w:w="944"/>
        <w:gridCol w:w="1835"/>
        <w:gridCol w:w="1065"/>
        <w:gridCol w:w="2856"/>
      </w:tblGrid>
      <w:tr w:rsidR="00FA2C13" w:rsidRPr="00B33F02" w:rsidTr="002F00D0">
        <w:trPr>
          <w:jc w:val="center"/>
        </w:trPr>
        <w:tc>
          <w:tcPr>
            <w:tcW w:w="361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3F0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52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Эксперт</w:t>
            </w:r>
            <w:proofErr w:type="spellEnd"/>
          </w:p>
        </w:tc>
        <w:tc>
          <w:tcPr>
            <w:tcW w:w="1566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Замечание</w:t>
            </w:r>
            <w:proofErr w:type="spellEnd"/>
          </w:p>
        </w:tc>
        <w:tc>
          <w:tcPr>
            <w:tcW w:w="1517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Тип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замечания</w:t>
            </w:r>
            <w:proofErr w:type="spellEnd"/>
          </w:p>
        </w:tc>
        <w:tc>
          <w:tcPr>
            <w:tcW w:w="1162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Критичность</w:t>
            </w:r>
            <w:proofErr w:type="spellEnd"/>
          </w:p>
        </w:tc>
        <w:tc>
          <w:tcPr>
            <w:tcW w:w="1268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Оценка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обоснованности</w:t>
            </w:r>
            <w:proofErr w:type="spellEnd"/>
          </w:p>
        </w:tc>
        <w:tc>
          <w:tcPr>
            <w:tcW w:w="927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Решение</w:t>
            </w:r>
            <w:proofErr w:type="spellEnd"/>
          </w:p>
        </w:tc>
        <w:tc>
          <w:tcPr>
            <w:tcW w:w="1795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Внесенные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изменения</w:t>
            </w:r>
            <w:proofErr w:type="spellEnd"/>
          </w:p>
        </w:tc>
        <w:tc>
          <w:tcPr>
            <w:tcW w:w="1422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Разделы</w:t>
            </w:r>
            <w:proofErr w:type="spellEnd"/>
            <w:r w:rsidR="00B33F02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B33F0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страницы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МР</w:t>
            </w:r>
          </w:p>
        </w:tc>
        <w:tc>
          <w:tcPr>
            <w:tcW w:w="2792" w:type="dxa"/>
          </w:tcPr>
          <w:p w:rsidR="00A861AD" w:rsidRPr="00B33F02" w:rsidRDefault="00A861AD" w:rsidP="00A861A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33F02">
              <w:rPr>
                <w:rFonts w:ascii="Times New Roman" w:hAnsi="Times New Roman" w:cs="Times New Roman"/>
                <w:b/>
              </w:rPr>
              <w:t>Официальный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ответ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авторского</w:t>
            </w:r>
            <w:proofErr w:type="spellEnd"/>
            <w:r w:rsidRPr="00B33F0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33F02">
              <w:rPr>
                <w:rFonts w:ascii="Times New Roman" w:hAnsi="Times New Roman" w:cs="Times New Roman"/>
                <w:b/>
              </w:rPr>
              <w:t>коллектива</w:t>
            </w:r>
            <w:proofErr w:type="spellEnd"/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A861AD" w:rsidRPr="00A861AD" w:rsidRDefault="00A861AD" w:rsidP="00A861AD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r w:rsidRPr="00A861AD">
              <w:rPr>
                <w:rFonts w:ascii="Times New Roman" w:hAnsi="Times New Roman" w:cs="Times New Roman"/>
              </w:rPr>
              <w:t>Э1-1</w:t>
            </w:r>
          </w:p>
        </w:tc>
        <w:tc>
          <w:tcPr>
            <w:tcW w:w="1566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Необходимо конкретнее определить предмет апробации на уровне школы и показать, какие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механизмы сетевого взаимодействия должны пройти практическую проверку.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Поставлен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вопрос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об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обоснованности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большого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объема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МР.</w:t>
            </w:r>
          </w:p>
        </w:tc>
        <w:tc>
          <w:tcPr>
            <w:tcW w:w="1517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61AD">
              <w:rPr>
                <w:rFonts w:ascii="Times New Roman" w:hAnsi="Times New Roman" w:cs="Times New Roman"/>
              </w:rPr>
              <w:lastRenderedPageBreak/>
              <w:t>Концептуальное</w:t>
            </w:r>
            <w:proofErr w:type="spellEnd"/>
          </w:p>
        </w:tc>
        <w:tc>
          <w:tcPr>
            <w:tcW w:w="1162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61AD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61AD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927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61AD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861AD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A861AD" w:rsidRPr="002F00D0" w:rsidRDefault="00A861AD" w:rsidP="00A86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Введены сквозная матрица механизмов (табл. 0.4) и матрица доказательств (табл. 0.5);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предмет апробации конкретизирован как практическая работа семи механизмов сетевого взаимодействия.</w:t>
            </w:r>
          </w:p>
        </w:tc>
        <w:tc>
          <w:tcPr>
            <w:tcW w:w="1422" w:type="dxa"/>
            <w:vAlign w:val="center"/>
          </w:tcPr>
          <w:p w:rsidR="00A861AD" w:rsidRPr="00A861AD" w:rsidRDefault="00A861AD" w:rsidP="00A861A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861AD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A861AD">
              <w:rPr>
                <w:rFonts w:ascii="Times New Roman" w:hAnsi="Times New Roman" w:cs="Times New Roman"/>
              </w:rPr>
              <w:t xml:space="preserve"> 1.1 (с. 8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A861AD">
              <w:rPr>
                <w:rFonts w:ascii="Times New Roman" w:hAnsi="Times New Roman" w:cs="Times New Roman"/>
              </w:rPr>
              <w:t xml:space="preserve">9, 16); </w:t>
            </w:r>
            <w:proofErr w:type="spellStart"/>
            <w:r w:rsidRPr="00A861AD">
              <w:rPr>
                <w:rFonts w:ascii="Times New Roman" w:hAnsi="Times New Roman" w:cs="Times New Roman"/>
              </w:rPr>
              <w:t>табл</w:t>
            </w:r>
            <w:proofErr w:type="spellEnd"/>
            <w:r w:rsidRPr="00A861AD">
              <w:rPr>
                <w:rFonts w:ascii="Times New Roman" w:hAnsi="Times New Roman" w:cs="Times New Roman"/>
              </w:rPr>
              <w:t>. 0.4, 0.5</w:t>
            </w:r>
          </w:p>
        </w:tc>
        <w:tc>
          <w:tcPr>
            <w:tcW w:w="2792" w:type="dxa"/>
            <w:vAlign w:val="center"/>
          </w:tcPr>
          <w:p w:rsidR="00A861AD" w:rsidRPr="002F00D0" w:rsidRDefault="00A861AD" w:rsidP="00A861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 в части необходимости конкретизации предмета апробации.</w:t>
            </w:r>
            <w:r w:rsidRPr="00A861AD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 итоговой редакции предмет апробации определен как</w:t>
            </w:r>
            <w:r w:rsidRPr="00A861AD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практическая работоспособность семи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взаимосвязанных механизмов сетевого взаимодействия «Школа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Университет», а не только результаты наставничества и исследовательской деятельности обучающихся. Для каждого механизма установлены наблюдаемое действие, участники, период проверки, документальное свидетельство и основание для управленческого решения. В отношении объема МР предложение о сокращении принято частично. Сохранение развернутой структуры обусловлено прикладным назначением документа: Руководство является не только описанием модели, но и</w:t>
            </w:r>
            <w:r w:rsidRPr="00A861AD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протоколом ее воспроизводимой апробации, включающим организационный запуск, ресурсное обеспечение, безопасность несовершеннолетних, управление данными, проектирование маршрутов, мониторинг, оценку, устойчивость и комплект рабочих инструментов. Для снижения информационной нагрузки введены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навигация по ролям, сквозные матрицы, контрольные точки </w:t>
            </w:r>
            <w:r w:rsidRPr="00A861AD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0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A861AD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6 и приложения с готовыми формами.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Э1-2</w:t>
            </w:r>
          </w:p>
        </w:tc>
        <w:tc>
          <w:tcPr>
            <w:tcW w:w="1566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Требуется описать механизм совместного проектирования образовательной деятельности: распределение функций школьного педагога и университетского наставника, согласование целей, содержания, форм и результатов маршрута.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Необходимо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конкретизировать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подготовку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наставников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программу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обучения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мероприятия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апробации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Описана процедура совместного проектирования: выявление потребности → образовательная проба → формирование рабочей гипотезы → согласование цели, продукта, календаря, нагрузки, ресурсов и рисков. Корректировки документируются, спорные вопросы выносятся в координационную группу. Введена 12-часовая программа подготовки наставников с модулями: модель и роли, возрастная педагогика,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этика и безопасность, обратная связь, документирование, практический допуск. Критерии допуска: 90% посещаемости, 80% по рубрике, подготовленный маршрут, ситуационное задание по безопасности, подписанный кодекс поведения.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Разделы 2.9.1 (с. 35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37), 5.1 (с. 64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67); Приложение Х (с. 131)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В МР конкретизирован механизм совместного проектирования образовательного маршрута как распределенная процедура, в которой: школа предоставляет данные об образовательной динамике, интересах, текущей нагрузке и условиях обучения ребенка; университетский наставник обеспечивает предметную, научную и исследовательскую экспертизу; обучающийся участвует в определении цели и ожидаемого продукта; стороны совместно согласуют цель, содержание, формат, календарь, ресурсы, нагрузку, продукт, критерии результата и точки пересмотра;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межорганизационные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разногласия передаются на рассмотрение координационной группы; изменения маршрута документируются. </w:t>
            </w:r>
            <w:r w:rsidRPr="00FA2C13">
              <w:rPr>
                <w:rFonts w:ascii="Times New Roman" w:hAnsi="Times New Roman" w:cs="Times New Roman"/>
              </w:rPr>
              <w:t>RACI</w:t>
            </w:r>
            <w:r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матрица прямо закрепляет совместную ответственность школы и университета за разработку маршрута. Отдельно конкретизирована система подготовки наставников: ответственность за организацию возложена на координатора университета; формируется реестр наставников с указанием направления, возраста обучающихся, формата работы, графика и допустимой нагрузки. Установлен минимальный объем подготовки первого пилота 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12 академических часов. 12 часов следует рассматривать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не как универсальный норматив, а как пилотный минимальный объем, достаточность которого проверяется через допуск,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супервизию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и качество фактической деятельности наставника.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Э1-3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Необходимо показать реальный, а не декларативный обмен кадровыми, научными, методическими, цифровыми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и инфраструктурными ресурсами; одной карты ресурсов недостаточно 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требуется фиксировать фактическое использование ресурсов обеими сторонами.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Введен журнал фактического взаимного использования ресурсов (табл. 3.15), фиксирующий владельца, получателя,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назначение, дату, объем, подтверждение и результат. Предложение ресурса без использования не признается состоявшимся обменом.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3.3 (с. 51);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табл</w:t>
            </w:r>
            <w:proofErr w:type="spellEnd"/>
            <w:r w:rsidRPr="00FA2C13">
              <w:rPr>
                <w:rFonts w:ascii="Times New Roman" w:hAnsi="Times New Roman" w:cs="Times New Roman"/>
              </w:rPr>
              <w:t>. 3.15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 полностью.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 итоговой редакции разграничены понятия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«наличие ресурса»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и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«состоявшийся ресурсный обмен». Карта ресурсов используется только на этапе выявления ресурсного потенциала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сети. Фактом сетевого обмена признается исключительно документированное использование ресурса другой стороной. Введена процедура подтверждения взаимного использования ресурсов с фиксацией: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владелец → получатель → ресурс → цель использования → дата → объем → подтверждение использования → фактический результат.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Ресурс, включенный в карту, но фактически не использованный участниками сети,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не учитывается как состоявшийся сетевой обмен.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Э1-4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Необходимо конкретизировать механизм трансфера образовательных и педагогических технологий: какая технология передается, кем и кому, как осваивается и применяется.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Предложен цикл: передача → освоение → применение → совместное наблюдение и анализ → обратная связь → корректировка → повторное применение → оценка результата.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Описан полный документируемый цикл интеграционного трансфера: выбор объекта → подготовка пакета → 12-часовая подготовка → адаптация → первое применение → оценка верности и приемлемости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(</w:t>
            </w:r>
            <w:r w:rsidRPr="00FA2C13">
              <w:rPr>
                <w:rFonts w:ascii="Times New Roman" w:hAnsi="Times New Roman" w:cs="Times New Roman"/>
              </w:rPr>
              <w:t>AIM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FA2C13">
              <w:rPr>
                <w:rFonts w:ascii="Times New Roman" w:hAnsi="Times New Roman" w:cs="Times New Roman"/>
              </w:rPr>
              <w:t>IAM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FA2C13">
              <w:rPr>
                <w:rFonts w:ascii="Times New Roman" w:hAnsi="Times New Roman" w:cs="Times New Roman"/>
              </w:rPr>
              <w:t>FIM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) → корректировка → повторное применение → акт внедрения → проверка продолжения практики в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6. Введены паспорт трансфера и чек-лист внедрения.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Раздел 5.5 (с. 75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76); Приложения Ш (с. 134), Щ (с. 135)</w:t>
            </w:r>
          </w:p>
        </w:tc>
        <w:tc>
          <w:tcPr>
            <w:tcW w:w="279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Замечание </w:t>
            </w:r>
            <w:proofErr w:type="gramStart"/>
            <w:r w:rsidRPr="002F00D0">
              <w:rPr>
                <w:rFonts w:ascii="Times New Roman" w:hAnsi="Times New Roman" w:cs="Times New Roman"/>
                <w:lang w:val="ru-RU"/>
              </w:rPr>
              <w:t>принято</w:t>
            </w:r>
            <w:proofErr w:type="gramEnd"/>
            <w:r w:rsidRPr="002F00D0">
              <w:rPr>
                <w:rFonts w:ascii="Times New Roman" w:hAnsi="Times New Roman" w:cs="Times New Roman"/>
                <w:lang w:val="ru-RU"/>
              </w:rPr>
              <w:t xml:space="preserve"> по существу.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Понятие интеграционного трансфера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операционализировано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и отделено от обычного предоставления образовательной услуги. Под интеграционным трансфером понимается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организованный, взаимный и документируемый процесс передачи, совместной адаптации, освоения,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применения, оценки, корректировки и закрепления образовательной услуги или педагогической технологии в практике другой организации. Разовый семинар, консультация или доступ к лаборатории прямо исключены из полного цикла трансфера. Для первого цикла предусмотрена последовательность: потребность школы → определение объекта → передача методического пакета → подготовка → совместная адаптация → первое применение → наблюдение и сбор данных → оценка верности/приемлемости/реализуемости → корректировка → повторное применение → акт внедрения → проверка устойчивости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6.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Для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документирования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введен</w:t>
            </w:r>
            <w:proofErr w:type="spellEnd"/>
            <w:r w:rsidRPr="00FA2C13">
              <w:rPr>
                <w:rFonts w:ascii="Times New Roman" w:hAnsi="Times New Roman" w:cs="Times New Roman"/>
              </w:rPr>
              <w:t> 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Паспорт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интеграционного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трансфера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Э1-5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Требуется определить механизм профессионального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взаимообучения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педагогов школы и представителей университета, ожидаемые изменения профессиональной практики и инструменты их фиксации.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Профессиональное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взаимообучение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встроено в совместное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проектирование, наблюдение практики, разбор кейсов, взаимную обратную связь и повторное применение методики. Изменения фиксируются в документах маршрута и трансфера, чек-листе верности, интервью и итоговом отчете.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Разделы 5.1, 5.5; Приложения У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(с. 129), Ш, Щ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Профессиональное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взаимообучение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конкретизировано не как участие педагогов в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отдельных семинарах, а как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совместная профессиональная деятельность школы и ОВПО, включающая проектирование практики, наблюдение, анализ случая, обратную связь, адаптацию педагогической технологии и ее повторное применение. Результатом данного механизма признается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наблюдаемое изменение профессиональной практики, а не факт присутствия на мероприятии. Доказательствами выступают: педагогический продукт; документы трансфера; чек-лист верности внедрения; интервью; повторное применение методики; отражение изменений в итоговом аналитическом отчете.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Э1-6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Следует проверять не только наличие соглашений, координаторов и </w:t>
            </w:r>
            <w:r w:rsidRPr="00FA2C13">
              <w:rPr>
                <w:rFonts w:ascii="Times New Roman" w:hAnsi="Times New Roman" w:cs="Times New Roman"/>
              </w:rPr>
              <w:t>RACI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-матрицы, но и фактическое совместное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принятие решений о маршрутах, нагрузке, ресурсах и корректировке программы.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Введен журнал совместных решений (Приложение Ю), фиксирующий дату, вопрос, позиции сторон, решение, ответственного,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срок и результат.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Контрольные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точки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T0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FA2C13">
              <w:rPr>
                <w:rFonts w:ascii="Times New Roman" w:hAnsi="Times New Roman" w:cs="Times New Roman"/>
              </w:rPr>
              <w:t xml:space="preserve">T6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связывают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решения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доказательствами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Разделы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2.3, 2.10, 6.4;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Приложение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Ю (с. 137)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Наличие соглашения, координаторов или </w:t>
            </w:r>
            <w:r w:rsidRPr="00FA2C13">
              <w:rPr>
                <w:rFonts w:ascii="Times New Roman" w:hAnsi="Times New Roman" w:cs="Times New Roman"/>
              </w:rPr>
              <w:t>RACI</w:t>
            </w:r>
            <w:r w:rsidRPr="002F00D0">
              <w:rPr>
                <w:rFonts w:ascii="Times New Roman" w:hAnsi="Times New Roman" w:cs="Times New Roman"/>
                <w:lang w:val="ru-RU"/>
              </w:rPr>
              <w:t>-матрицы в итоговой редакции рассматривается только как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организационная предпосылка, но не как доказательство фактического совместного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управления. Для проверки механизма введен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Журнал совместных решений, фиксирующий: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вопрос → позиции сторон → принятое решение → ответственный → срок → результат исполнения.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Координационная группа принимает решения по маршрутам, показателям, календарю, ресурсам и корректирующим действиям, что подтверждается протоколами и журналом решений.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Э1-7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Необходимо установить, сохраняются ли совместные практики, профессиональные связи и доступ школы к ресурсам ОВПО после завершения проектов обучающихся.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Концептуальное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Устойчивость выделена как самостоятельный предмет мониторинга с проверкой в точке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6 через 3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4 месяца после завершения. Критерии: продолжение наставничества, повторное применение методики, сохранение доступа к ресурсам, новые маршруты, закрепление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договоренностей.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8.2 (с. 102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FA2C13">
              <w:rPr>
                <w:rFonts w:ascii="Times New Roman" w:hAnsi="Times New Roman" w:cs="Times New Roman"/>
              </w:rPr>
              <w:t>104)</w:t>
            </w:r>
          </w:p>
        </w:tc>
        <w:tc>
          <w:tcPr>
            <w:tcW w:w="279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Устойчивость выделена в самостоятельный механизм и самостоятельный объект оценки. Она определяется не намерением партнеров продолжать сотрудничество, а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наличием фактических признаков продолжения совместной деятельности после основного цикла: сохранение доступа школы к ресурсам ОВПО; продолжение профессиональных связей; повторное применение переданной методики; продолжение или запуск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новых маршрутов; сохранение наставнического взаимодействия; закрепление обязательств на следующий цикл.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Проверка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проводится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в T6.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Э1-8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Термин «ВУЗ» необходимо заменить нормативным термином «организация высшего и (или) послевузовского образования (ОВПО)» и уточнить, распространяется ли модель только на университеты или также на иные виды ОВПО.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Терминологическое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Уточняющее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В нормативно значимых и операционных формулировках используется термин ОВПО. Название «Школа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Университет» сохранено как коммуникативное наименование модели. Модель распространяется на все виды ОВПО.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Первый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пилот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реализуется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одной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ОВПО-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оператором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Разделы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1.1, 2.1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FA2C13">
              <w:rPr>
                <w:rFonts w:ascii="Times New Roman" w:hAnsi="Times New Roman" w:cs="Times New Roman"/>
              </w:rPr>
              <w:t>2.17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 нормативно значимых положениях используется понятие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«организация высшего и (или) послевузовского образования (ОВПО)». Наименование модели «Школа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Университет» сохраняется как собственное краткое наименование разработанной модели и не используется как нормативное определение вида организации образования. Модель распространяется на все виды ОВПО, имеющие ресурсы для реализации пилота.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До окончательной верстки дополнительно будет проведен сквозной терминологический контроль текста, таблиц и графических материалов с заменой оставшихся обозначений «ВУЗ» на «ОВПО», кроме случаев цитирования или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собственного наименования модели.</w:t>
            </w:r>
          </w:p>
        </w:tc>
      </w:tr>
      <w:tr w:rsidR="00B33F02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Э1-9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Требуется устранить чрезмерные интервалы между словами и неравномерную плотность текста, унифицировать выравнивание, интервалы, переносы, отступы и оформление основного текста, таблиц и подписей.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Редакционно-техническое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Редакционное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Проведена техническая редакция документа: унифицированы шрифты, интервалы, выравнивание, устранены лишние разрывы и дублирование; исключена заливка таблиц; переделаны оглавление и пагинация.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Весь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документ</w:t>
            </w:r>
            <w:proofErr w:type="spellEnd"/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Выполнена унификация шрифтов, интервалов, отступов, оформления таблиц, заголовков, подписей, пагинации и оглавления. Перед выпуском окончательной версии необходим дополнительный технический </w:t>
            </w:r>
            <w:r w:rsidRPr="00FA2C13">
              <w:rPr>
                <w:rFonts w:ascii="Times New Roman" w:hAnsi="Times New Roman" w:cs="Times New Roman"/>
              </w:rPr>
              <w:t>proof</w:t>
            </w:r>
            <w:r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FA2C13">
              <w:rPr>
                <w:rFonts w:ascii="Times New Roman" w:hAnsi="Times New Roman" w:cs="Times New Roman"/>
              </w:rPr>
              <w:t>check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всего макета.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Э1-10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Показатели образовательных результатов необходимо дополнить отдельной группой индикаторов сетевого эффекта.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Методологическое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Критическое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Введены сетевые индикаторы: совместное проектирование, фактический взаимный обмен ресурсами, полный цикл трансфера, профессиональное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взаимообучение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, совместные решения, устойчивость. Они отделены от результатов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обучающихся и подтверждаются несколькими источниками данных.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Раздел 7.1 (с. 82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86); Приложение П (с. 125)</w:t>
            </w:r>
          </w:p>
        </w:tc>
        <w:tc>
          <w:tcPr>
            <w:tcW w:w="279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 полностью.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Система оценки разделена на два принципиально разных уровня.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Образовательный уровень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характеризует изменения у обучающихся: качество маршрута, самостоятельность, компетенции, качество продукта, мотивацию и другие результаты.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Сетевой организационно-педагогический уровень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характеризует функционирование самой модели: совместное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проектирование; фактический взаимный обмен ресурсами; интеграционный трансфер; профессиональное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взаимообучение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; совместное принятие решений; устойчивость партнерства.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Успешность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апробации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модели</w:t>
            </w:r>
            <w:proofErr w:type="spellEnd"/>
            <w:r w:rsidRPr="00FA2C13">
              <w:rPr>
                <w:rFonts w:ascii="Times New Roman" w:hAnsi="Times New Roman" w:cs="Times New Roman"/>
              </w:rPr>
              <w:t> 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может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подтверждаться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только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достижениями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обучающихся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Э1-11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Материал воспринимается как представленный частями; недостаточно ясно прослеживаются логика, цель и ожидаемые результаты. Рекомендуется матрица показателей апробации с разделением образовательного и сетевого (организационно-педагогического) уровней.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Введены сквозная матрица механизмов и матрица доказательств, разграничены образовательные, профессиональные, организационные и сетевые результаты.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Цель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задачи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апробации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связаны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семью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механизмами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Разделы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1.1, 7.1</w:t>
            </w:r>
          </w:p>
        </w:tc>
        <w:tc>
          <w:tcPr>
            <w:tcW w:w="279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Итоговая редакция перестроена вокруг полного цикла апробации: научно-методические основания → организационный запуск → ресурсы → включение обучающихся → проектирование и реализация маршрута → календарь → мониторинг → устойчивость. Дополнительно введено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сквозное правило апробации, связывающее семь механизмов с действиями, доказательствами и управленческими решениями. В мониторинге отдельно представлены образовательные результаты обучающихся, профессиональные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изменения педагогов, организационные результаты и сетевые эффекты партнерства.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Это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обеспечивает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логическую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связанность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всех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разделов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МР.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Э2-1</w:t>
            </w:r>
          </w:p>
        </w:tc>
        <w:tc>
          <w:tcPr>
            <w:tcW w:w="1566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Недостаточно четко определены критерии, доказывающие апробацию именно модели сетевого взаимодействия, а не отдельной программы наставничества и исследовательской деятельности школьников.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Требуются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показатели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дополнительного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сетевого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эффекта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Методологическое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Критическое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 качестве отличительных признаков сети закреплены: взаимность обмена, совместное проектирование, совместное принятие решений, интеграционный трансфер, профессиональное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взаимообучение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и устойчивость.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Для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каждого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признака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определены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наблюдаемые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действия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доказательства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 1.1 (с. 8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9); раздел 7.1 (с. 82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86); Приложение П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Критерием апробации модели является не наличие программы наставничества, а подтвержденная практическая работа совокупности семи сетевых механизмов. В итоговой редакции прямо установлено: наставничество и проекты являются педагогическим ядром, но не исчерпывают модель. Следовательно, даже высокие результаты обучающихся при отсутствии фактического обмена ресурсами, совместного проектирования, трансфера, совместных решений и устойчивости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не являются достаточным доказательством апробации сетевой модели.</w:t>
            </w:r>
          </w:p>
        </w:tc>
      </w:tr>
      <w:tr w:rsidR="00B33F02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Э2-2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Необходимо устранить противоречие между конфигурацие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й с одним университетом-оператором и количественным показателем участия не менее двух университетов.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Минимальная конфигурация первого пилота 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одна ОВПО-оператор и сеть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школ. Дополнительные ОВПО подключаются только при наличии подтвержденного ресурса и отдельного соглашения.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Обязательный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порог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менее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двух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ОВПО»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используется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1.1 (с. 16);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табл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. 7.4 </w:t>
            </w:r>
            <w:r w:rsidRPr="00FA2C13">
              <w:rPr>
                <w:rFonts w:ascii="Times New Roman" w:hAnsi="Times New Roman" w:cs="Times New Roman"/>
              </w:rPr>
              <w:lastRenderedPageBreak/>
              <w:t>(с. 84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FA2C13">
              <w:rPr>
                <w:rFonts w:ascii="Times New Roman" w:hAnsi="Times New Roman" w:cs="Times New Roman"/>
              </w:rPr>
              <w:t>85)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Замечание принято частично.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 первом пилоте устанавливается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одна ОВПО-оператор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и сеть школ. Дополнительные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ОВПО могут подключаться факультативно при подтвержденном ресурсе и отдельном соглашении. Обязательный показатель ≥2 ОВПО исключается. Это методологически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обоснованнее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прежнего показателя: сетевой характер определяется качеством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межорганизационных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связей, а не количеством университетов. Для ограниченного первого пилота единый оператор обеспечивает однозначную ответственность за данные, безопасность, ресурсы и календарь.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Э2-3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 документе использованы разные пороги проведения наставнических встреч 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80% и 85%; требуется единый показатель.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Терминологическое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Уточняющее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Порог унифицирован: не менее 85% запланированных содержательных наставнических встреч.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Согласован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показателях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критериях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итоговой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оценки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форме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журнала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 1.2 (с. 21); Приложение Л (с. 121)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Единый показатель: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не менее 85% запланированных содержательных наставнических встреч.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Порог 85% достаточно строг для контроля верности реализации и одновременно учитывает объективные переносы и отмены.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Э2-4</w:t>
            </w:r>
          </w:p>
        </w:tc>
        <w:tc>
          <w:tcPr>
            <w:tcW w:w="1566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В таблице указан средний прирост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компетенций ≥15%, хотя далее сказано, что шкала 1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4 является порядковой и процентный прирост по ней некорректен; внутреннюю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несогласованность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необходимо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устранить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Методологическое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Критическое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Методологическое пояснение исправлено: относительный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процентный прирост по порядковой шкале не рассчитывается, порог 15% исключен как универсальный критерий.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Строка «Средний прирост результата ≥15%» удалена из таблицы 7.4.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Вместо него введены: медиана абсолютного изменения, доля повысившихся ≥1 уровень, доля сохранивших высокий уровень, распределение изменений.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 xml:space="preserve">Раздел 7.1 (с. 90); табл. 7.4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(будет исправлено)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Замечание полностью обосновано и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Использование универсального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критерия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«средний прирост компетенций ≥15%»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для результатов, измеренных порядковой шкалой 1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4, методологически некорректно, поскольку интервалы между уровнями такой шкалы нельзя априори считать равными. В аналитической части Руководства это положение уже исправлено. Однако при контрольной сверке итоговой редакции выявлено, что соответствующая строка сохранилась в одной из таблиц показателей.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До выпуска окончательной редакции показатель «средний прирост компетенций ≥15%» подлежит удалению из таблицы.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Вместо него следует использовать: распределение участников по уровням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0/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5; долю участников с положительным сдвигом минимум на один уровень; медиану и </w:t>
            </w:r>
            <w:proofErr w:type="spellStart"/>
            <w:r w:rsidRPr="002F00D0">
              <w:rPr>
                <w:rFonts w:ascii="Times New Roman" w:hAnsi="Times New Roman" w:cs="Times New Roman"/>
                <w:lang w:val="ru-RU"/>
              </w:rPr>
              <w:t>межквартильный</w:t>
            </w:r>
            <w:proofErr w:type="spellEnd"/>
            <w:r w:rsidRPr="002F00D0">
              <w:rPr>
                <w:rFonts w:ascii="Times New Roman" w:hAnsi="Times New Roman" w:cs="Times New Roman"/>
                <w:lang w:val="ru-RU"/>
              </w:rPr>
              <w:t xml:space="preserve"> размах; индивидуальную динамику; качественную триангуляцию с продуктом, наблюдением и рефлексией. Это замечание следует считать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закрытым только после фактического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удаления противоречащей строки из МР.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Э2-5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До начала апробации необходимо зафиксировать окончательный набор показателей и порогов, поскольку часть значений названа рабочими ориентирами и зависит от ресурсной вместимости.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 xml:space="preserve">Числовые значения обозначены как управленческие ориентиры первого цикла, а не государственные нормативы или универсальные критерии. Предусмотрено утверждение окончательных ориентиров университетом до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0 с учетом масштаба пилота, исходных данных и фактической ресурсной вместимости.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 1.2 (с. 21); раздел 7.1 (с. 84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85); Паспорт пилота (с. 112)</w:t>
            </w:r>
          </w:p>
        </w:tc>
        <w:tc>
          <w:tcPr>
            <w:tcW w:w="279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Замечание принято в части необходимости предварительной фиксации показателей, но не в части установления универсальных числовых порогов для всех возможных пилотов. Методологически необходимо разделить: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ядро показателей модели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фиксировано Руководством;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контекстные числовые ориентиры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устанавливаются оператором с учетом ресурсной вместимости. При этом окончательный паспорт показателей конкретного пилота должен быть утвержден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до </w:t>
            </w:r>
            <w:r w:rsidRPr="00FA2C13">
              <w:rPr>
                <w:rFonts w:ascii="Times New Roman" w:hAnsi="Times New Roman" w:cs="Times New Roman"/>
              </w:rPr>
              <w:t>T</w:t>
            </w:r>
            <w:r w:rsidRPr="002F00D0">
              <w:rPr>
                <w:rFonts w:ascii="Times New Roman" w:hAnsi="Times New Roman" w:cs="Times New Roman"/>
                <w:lang w:val="ru-RU"/>
              </w:rPr>
              <w:t>0. После начала сбора данных изменение показателей или порогов допустимо только как документированное отклонение с указанием причины и не должно использоваться для постфактум улучшения оценки результатов. Чек-лист готовности уже требует утвердить индикаторы и формы мониторинга до решения о запуске.</w:t>
            </w:r>
          </w:p>
        </w:tc>
      </w:tr>
      <w:tr w:rsidR="00B33F02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Э2-6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Необходимо уточнить, оценивает ли первый пилот эффективность модели или прежде всего ее реализуемость, работоспособность и предварительную динамику результатов.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Методологическое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Критическое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Название и содержание главы 7 переориентированы на оценку реализуемости, качества реализации и предварительных результатов. Добавлены показатели верности внедрения, приемлемости (</w:t>
            </w:r>
            <w:r w:rsidRPr="00FA2C13">
              <w:rPr>
                <w:rFonts w:ascii="Times New Roman" w:hAnsi="Times New Roman" w:cs="Times New Roman"/>
              </w:rPr>
              <w:t>AIM</w:t>
            </w:r>
            <w:r w:rsidRPr="002F00D0">
              <w:rPr>
                <w:rFonts w:ascii="Times New Roman" w:hAnsi="Times New Roman" w:cs="Times New Roman"/>
                <w:lang w:val="ru-RU"/>
              </w:rPr>
              <w:t>), соответствия (</w:t>
            </w:r>
            <w:r w:rsidRPr="00FA2C13">
              <w:rPr>
                <w:rFonts w:ascii="Times New Roman" w:hAnsi="Times New Roman" w:cs="Times New Roman"/>
              </w:rPr>
              <w:t>IAM</w:t>
            </w:r>
            <w:r w:rsidRPr="002F00D0">
              <w:rPr>
                <w:rFonts w:ascii="Times New Roman" w:hAnsi="Times New Roman" w:cs="Times New Roman"/>
                <w:lang w:val="ru-RU"/>
              </w:rPr>
              <w:t>) и реализуемости (</w:t>
            </w:r>
            <w:r w:rsidRPr="00FA2C13">
              <w:rPr>
                <w:rFonts w:ascii="Times New Roman" w:hAnsi="Times New Roman" w:cs="Times New Roman"/>
              </w:rPr>
              <w:t>FIM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).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Установлены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ограничения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причинной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интерпретации</w:t>
            </w:r>
            <w:proofErr w:type="spellEnd"/>
            <w:r w:rsidRPr="00FA2C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Глава 7 (с. 82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98); Приложение Э (с. 136)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методологически обосновано.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Первый пилот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не предназначен для доказательства причинной эффективности модели. Он позволяет оценить: реализуемость; приемлемость; верность реализации; качество реализации; предварительную динамику результатов; функционирование сетевых механизмов. Глава 7 переименована в: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«Мониторинг и оценка реализуемости, качества реализации и предварительных результатов пилотной модели». Причинный вывод вида «модель вызвала наблюдаемое изменение» потребовал бы отдельного 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квазиэкспериментального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 xml:space="preserve"> или экспериментального дизайна.</w:t>
            </w:r>
          </w:p>
        </w:tc>
      </w:tr>
      <w:tr w:rsidR="00B33F02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r w:rsidRPr="00FA2C13">
              <w:rPr>
                <w:rFonts w:ascii="Times New Roman" w:hAnsi="Times New Roman" w:cs="Times New Roman"/>
              </w:rPr>
              <w:t>Э3-1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Необходимо конкретизировать предмет апробации и отнести к нему семь механизмов сетевого взаимодейств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ия; итог должен показывать не только результаты обучающихся, но и работу механизмов школы и университета на практике.</w:t>
            </w:r>
          </w:p>
        </w:tc>
        <w:tc>
          <w:tcPr>
            <w:tcW w:w="151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Концептуальное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2C13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 xml:space="preserve">Все семь механизмов включены в предмет апробации, сквозную матрицу и матрицу доказательств.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По каждому механизму предусмотрены наблюдаемое действие, документальный след и управленческое решение.</w:t>
            </w:r>
          </w:p>
        </w:tc>
        <w:tc>
          <w:tcPr>
            <w:tcW w:w="1422" w:type="dxa"/>
            <w:vAlign w:val="center"/>
          </w:tcPr>
          <w:p w:rsidR="00FA2C13" w:rsidRPr="00FA2C13" w:rsidRDefault="00FA2C13" w:rsidP="00FA2C1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A2C13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FA2C13">
              <w:rPr>
                <w:rFonts w:ascii="Times New Roman" w:hAnsi="Times New Roman" w:cs="Times New Roman"/>
              </w:rPr>
              <w:t xml:space="preserve"> 1.1 (с. 8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FA2C13">
              <w:rPr>
                <w:rFonts w:ascii="Times New Roman" w:hAnsi="Times New Roman" w:cs="Times New Roman"/>
              </w:rPr>
              <w:t xml:space="preserve">9); </w:t>
            </w:r>
            <w:proofErr w:type="spellStart"/>
            <w:r w:rsidRPr="00FA2C13">
              <w:rPr>
                <w:rFonts w:ascii="Times New Roman" w:hAnsi="Times New Roman" w:cs="Times New Roman"/>
              </w:rPr>
              <w:t>табл</w:t>
            </w:r>
            <w:proofErr w:type="spellEnd"/>
            <w:r w:rsidRPr="00FA2C13">
              <w:rPr>
                <w:rFonts w:ascii="Times New Roman" w:hAnsi="Times New Roman" w:cs="Times New Roman"/>
              </w:rPr>
              <w:t>. 0.4, 0.5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FA2C1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FA2C13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Все семь механизмов сетевого взаимодействия включены в предмет апробации, сквозную матрицу и матрицу доказательств. По каждому механизму предусмотрены наблюдаемое действие,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документальный след и управленческое решение. Итог апробации включает отдельные выводы по каждому из семи механизмов, а не только результаты обучающихся. Ответ синхронизирован с ответами на замечания Э1-1 и Э2-1.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Э3-2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Требуется четко описать процедуру совместного проектирования маршрута: инициирование, вклад школьного педагога и университетского наставника, согласование разногласий и принятие окончательного решения.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Описаны выявление потребности, образовательная проба, формирование рабочей гипотезы, согласование цели, продукта, календаря, нагрузки, ресурсов и рисков. Корректировки документируются, спорные вопросы выносятся в координационную группу. Зафиксирован вклад трех сторон в карточке маршрута.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Разделы 4.2, 5.1 (с. 64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67); Приложения К (с. 120), Н (с. 123)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Процедура совместного проектирования начинается со школьной рекомендации/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самономинации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 xml:space="preserve"> и образовательной пробы; школа формирует контекстную информацию о ребенке; наставник вносит предметную и исследовательскую экспертизу; обучающийся участвует в определении цели; стороны согласуют цель, продукт, содержание, нагрузку, ресурсы, календарь и риски; решение фиксируется в единой карточке маршрута; текущие изменения документируются; 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межорганизационные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 xml:space="preserve"> разногласия передаются координационной группе.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Э3-3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Необходимо уточнить систему подготовки наставников: кто готовит, по какой программе и в каком объеме, какие компетенции формируются и как определяется готовность наставника.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Подготовку организует координатор университета с привлечением профильных экспертов. Установлена 12-часовая онлайн-программа с проверяемыми результатами: модель и роли, возрастные особенности, проектирование маршрута, проектно-исследовательская методика, формирующее оценивание, этика и ИИ, практикум. Критерии допуска: 90% посещаемости, 80% по рубрике, подготовленный маршрут, ситуационное задание по безопасности, кодекс поведения.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 2.9.1 (с. 35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37); Приложение Х (с. 131)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Подготовку организует координатор ОВПО совместно с профильными подразделениями; используется программа подготовки, реестр и механизм учета нагрузки.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12 часов позиционируется как минимальный пилотный объем, а не норматив.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Готовность наставника подтверждается совокупностью: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подготовка + проверка понимания роли + принятие кодекса поведения + практический допуск + контроль первых взаимодействий + 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супервизия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2F00D0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Э3-4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Требуется пояснить, чем «интеграцион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ный трансфер образовательных услуг» отличается от обычного предоставления консультаций, лабораторий, наставников или мероприятий.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Терминологическое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 xml:space="preserve">Интеграционный трансфер определен как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организованный, взаимный и документируемый перенос методики с адаптацией, первым и повторным применением, оценкой верности, корректировкой, актом внедрения и проверкой продолжения практики.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Раздел 5.5 (с. 75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76);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Приложения Ш, Щ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Замечание принято.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Трансфер = передача + освоение +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контекстная адаптация + воспроизводимое применение + оценка + корректировка + повторное применение + закрепление.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Если отсутствуют освоение и воспроизводимое применение, имеет место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предоставление ресурса или услуги, но не завершенный трансфер. Разовая консультация, доступ к лаборатории или передача материала сами по себе не считаются трансфером, поскольку не подтверждают освоение и воспроизводимое применение практики.</w:t>
            </w:r>
          </w:p>
        </w:tc>
      </w:tr>
      <w:tr w:rsidR="00B33F02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Э3-5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Необходимо конкретизировать, какие именно современные педагогические технологии передаются от университета школе, а не ограничиваться их перечислением.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Содержательное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 xml:space="preserve">Для первого цикла объектом трансфера определена комплексная методика проектно-исследовательского обучения одаренных и высокомотивированных обучающихся. Конкретный объект, обязательные компоненты, допустимые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адаптации и доказательства фиксируются в паспорте трансфера.</w:t>
            </w:r>
          </w:p>
        </w:tc>
        <w:tc>
          <w:tcPr>
            <w:tcW w:w="142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Раздел 1.1 (с. 16); Приложение Ш (с. 134)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 частично.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В МР прямо указано: объект первого цикла 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комплексная методика проектно-исследовательского обучения одаренных и высокомотивированных обучающихся. Она включает: индивидуальный образовательный маршрут; совместное наставничество «Школа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Университет»; исследовательское обучение; формирующее оценивание. </w:t>
            </w:r>
            <w:r w:rsidRPr="00B33F02">
              <w:rPr>
                <w:rFonts w:ascii="Times New Roman" w:hAnsi="Times New Roman" w:cs="Times New Roman"/>
                <w:lang w:val="ru-RU"/>
              </w:rPr>
              <w:t>Для будущих циклов объект может меняться, но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до начала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каждого цикла он должен быть назван и паспортизирован.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Э3-6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Необходимо конкретизировать роль центра «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Дарын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>» и организаций дополнительного образования и определить, являются ли они постоянными субъектами сети или партнерами отдельных маршрутов.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Концептуальное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Предусмотрено участие «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Дарын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 xml:space="preserve">» и ДО в выявлении и маршрутизации обучающихся, предоставлении профильных экспертов, площадок и образовательных возможностей.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Корневая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ответственность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оператора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школ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на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них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не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переносится</w:t>
            </w:r>
            <w:proofErr w:type="spellEnd"/>
            <w:r w:rsidRPr="002F00D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Раздел 1.1 (с. 10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16); Приложение Д (с. 115)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 частично.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Центр «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Дарын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>» и организации дополнительного образования квалифицируются как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ресурсные и профильные партнеры сети, подключаемые в зависимости от содержания конкретного маршрута и доступного ресурса, а не как обязательные операторы всех процессов. МР уже конкретизирует эту конструкцию: организации дополнительного образования подключаются в зависимости от направления маршрута, а региональный «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Дарын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>» оказывает поддержку в олимпиадной подготовке и исследовательских проектах. Корневая ответственность за управление пилотом, данные, безопасность и мониторинг остается за оператором и школами.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Э3-7</w:t>
            </w:r>
          </w:p>
        </w:tc>
        <w:tc>
          <w:tcPr>
            <w:tcW w:w="1566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 xml:space="preserve">Рекомендуется установить, какие новые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образовательные и профессиональные возможности возникают благодаря объединению ресурсов и совместной деятельности школы и университета.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Концептуальное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Раскрыты новые возможности: доступ к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лабораториям, оборудованию, базам данных, наставникам и исследовательским задачам; профессиональные пробы; совместные маршруты; перенос педагогической методики; расширение профессионального сообщества педагогов.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Разделы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1.1, 3.1 (с. 10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2F00D0">
              <w:rPr>
                <w:rFonts w:ascii="Times New Roman" w:hAnsi="Times New Roman" w:cs="Times New Roman"/>
              </w:rPr>
              <w:lastRenderedPageBreak/>
              <w:t>16, 45</w:t>
            </w:r>
            <w:r w:rsidR="002F00D0">
              <w:rPr>
                <w:rFonts w:ascii="Times New Roman" w:hAnsi="Times New Roman" w:cs="Times New Roman"/>
              </w:rPr>
              <w:t>-</w:t>
            </w:r>
            <w:r w:rsidRPr="002F00D0">
              <w:rPr>
                <w:rFonts w:ascii="Times New Roman" w:hAnsi="Times New Roman" w:cs="Times New Roman"/>
              </w:rPr>
              <w:t>52)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Замечание принято.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Сетевой эффект следует формулировать не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как простую сумму ресурсов.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Дополнительная ценность сети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проявляется в возможностях, которые школа и ОВПО по отдельности не могли бы обеспечить в сопоставимом формате: школьный контекст + университетская научная экспертиза; индивидуальный маршрут + специализированная инфраструктура; школьный педагог + профильный научный наставник; реальная исследовательская задача; перенос университетской методики в школьную практику; совместная профессиональная практика педагогов; продолжительная траектория вместо разовых мероприятий.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Э3-8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Необходимо разграничить потенциальную аудиторию модели 1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11 классов и целевую группу первого цикла апробации, ориентированного на 7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11 классы.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Организационное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Существенное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полностью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2F00D0">
              <w:rPr>
                <w:rFonts w:ascii="Times New Roman" w:hAnsi="Times New Roman" w:cs="Times New Roman"/>
                <w:lang w:val="ru-RU"/>
              </w:rPr>
              <w:t>Потенциальная область модели определена как 1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11 классы после возрастной адаптации; первый пилот ограничен 7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11 классами. Это разграничение сохранено во всех формах,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календарях и отчетах.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lastRenderedPageBreak/>
              <w:t>Раздел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1.1 (с. 16);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раздел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4.1 (с. 58)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В МР необходимо строго различать: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потенциальную область применения модели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1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>11 классы при соответствующей возрастной адаптации; и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>целевую группу первого цикла апробации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обучающиеся 7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11 классов. 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Это разграничение уже прямо закреплено в разделе о границах первого пилота. </w:t>
            </w:r>
            <w:r w:rsidRPr="002F00D0">
              <w:rPr>
                <w:rFonts w:ascii="Times New Roman" w:hAnsi="Times New Roman" w:cs="Times New Roman"/>
                <w:lang w:val="ru-RU"/>
              </w:rPr>
              <w:lastRenderedPageBreak/>
              <w:t>Однако контрольная сверка выявила отдельную формулировку «Модель предназначена для обучающихся 5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11 классов», которая должна быть приведена в соответствие с указанным разграничением. </w:t>
            </w:r>
            <w:r w:rsidRPr="00B33F02">
              <w:rPr>
                <w:rFonts w:ascii="Times New Roman" w:hAnsi="Times New Roman" w:cs="Times New Roman"/>
                <w:lang w:val="ru-RU"/>
              </w:rPr>
              <w:t>Замечание считается полностью закрытым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B33F02">
              <w:rPr>
                <w:rFonts w:ascii="Times New Roman" w:hAnsi="Times New Roman" w:cs="Times New Roman"/>
                <w:lang w:val="ru-RU"/>
              </w:rPr>
              <w:t>после сквозной терминологической корректировки всех возрастных диапазонов.</w:t>
            </w:r>
          </w:p>
        </w:tc>
      </w:tr>
      <w:tr w:rsidR="00FA2C13" w:rsidRPr="00A861AD" w:rsidTr="002F00D0">
        <w:trPr>
          <w:jc w:val="center"/>
        </w:trPr>
        <w:tc>
          <w:tcPr>
            <w:tcW w:w="361" w:type="dxa"/>
          </w:tcPr>
          <w:p w:rsidR="00FA2C13" w:rsidRPr="00A861AD" w:rsidRDefault="00FA2C13" w:rsidP="00FA2C13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5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r w:rsidRPr="002F00D0">
              <w:rPr>
                <w:rFonts w:ascii="Times New Roman" w:hAnsi="Times New Roman" w:cs="Times New Roman"/>
              </w:rPr>
              <w:t>Э3-9</w:t>
            </w:r>
          </w:p>
        </w:tc>
        <w:tc>
          <w:tcPr>
            <w:tcW w:w="1566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 xml:space="preserve">Необходимо унифицировать наименование коллегиального органа управления. 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Эксперт рекомендует использовать два разных органа 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координационную группу и координационный совет 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 и разграничить их функции.</w:t>
            </w:r>
          </w:p>
        </w:tc>
        <w:tc>
          <w:tcPr>
            <w:tcW w:w="151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Терминологическое</w:t>
            </w:r>
            <w:proofErr w:type="spellEnd"/>
          </w:p>
        </w:tc>
        <w:tc>
          <w:tcPr>
            <w:tcW w:w="116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Уточняющее</w:t>
            </w:r>
            <w:proofErr w:type="spellEnd"/>
          </w:p>
        </w:tc>
        <w:tc>
          <w:tcPr>
            <w:tcW w:w="1268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Обоснованно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927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Принято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0D0">
              <w:rPr>
                <w:rFonts w:ascii="Times New Roman" w:hAnsi="Times New Roman" w:cs="Times New Roman"/>
              </w:rPr>
              <w:t>частично</w:t>
            </w:r>
            <w:proofErr w:type="spellEnd"/>
          </w:p>
        </w:tc>
        <w:tc>
          <w:tcPr>
            <w:tcW w:w="1795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 xml:space="preserve">Во всей операционной части используется единое наименование «координационная группа». В одном органе объединены </w:t>
            </w:r>
            <w:proofErr w:type="spellStart"/>
            <w:r w:rsidRPr="00B33F02">
              <w:rPr>
                <w:rFonts w:ascii="Times New Roman" w:hAnsi="Times New Roman" w:cs="Times New Roman"/>
                <w:lang w:val="ru-RU"/>
              </w:rPr>
              <w:t>межорганизационные</w:t>
            </w:r>
            <w:proofErr w:type="spellEnd"/>
            <w:r w:rsidRPr="00B33F02">
              <w:rPr>
                <w:rFonts w:ascii="Times New Roman" w:hAnsi="Times New Roman" w:cs="Times New Roman"/>
                <w:lang w:val="ru-RU"/>
              </w:rPr>
              <w:t xml:space="preserve"> управленческие функции; закреплены состав, полномочия, </w:t>
            </w:r>
            <w:r w:rsidRPr="002F00D0">
              <w:rPr>
                <w:rFonts w:ascii="Times New Roman" w:hAnsi="Times New Roman" w:cs="Times New Roman"/>
              </w:rPr>
              <w:t>RACI</w:t>
            </w:r>
            <w:r w:rsidRPr="00B33F02">
              <w:rPr>
                <w:rFonts w:ascii="Times New Roman" w:hAnsi="Times New Roman" w:cs="Times New Roman"/>
                <w:lang w:val="ru-RU"/>
              </w:rPr>
              <w:t>-матрица, документооборот и журнал решений.</w:t>
            </w:r>
          </w:p>
        </w:tc>
        <w:tc>
          <w:tcPr>
            <w:tcW w:w="1422" w:type="dxa"/>
            <w:vAlign w:val="center"/>
          </w:tcPr>
          <w:p w:rsidR="00FA2C13" w:rsidRPr="002F00D0" w:rsidRDefault="00FA2C13" w:rsidP="002F00D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00D0">
              <w:rPr>
                <w:rFonts w:ascii="Times New Roman" w:hAnsi="Times New Roman" w:cs="Times New Roman"/>
              </w:rPr>
              <w:t>Разделы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2.3, 2.10, 2.17; </w:t>
            </w:r>
            <w:proofErr w:type="spellStart"/>
            <w:r w:rsidRPr="002F00D0">
              <w:rPr>
                <w:rFonts w:ascii="Times New Roman" w:hAnsi="Times New Roman" w:cs="Times New Roman"/>
              </w:rPr>
              <w:t>Приложение</w:t>
            </w:r>
            <w:proofErr w:type="spellEnd"/>
            <w:r w:rsidRPr="002F00D0">
              <w:rPr>
                <w:rFonts w:ascii="Times New Roman" w:hAnsi="Times New Roman" w:cs="Times New Roman"/>
              </w:rPr>
              <w:t xml:space="preserve"> Д</w:t>
            </w:r>
          </w:p>
        </w:tc>
        <w:tc>
          <w:tcPr>
            <w:tcW w:w="2792" w:type="dxa"/>
            <w:vAlign w:val="center"/>
          </w:tcPr>
          <w:p w:rsidR="00FA2C13" w:rsidRPr="00B33F02" w:rsidRDefault="00FA2C13" w:rsidP="002F00D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33F02">
              <w:rPr>
                <w:rFonts w:ascii="Times New Roman" w:hAnsi="Times New Roman" w:cs="Times New Roman"/>
                <w:lang w:val="ru-RU"/>
              </w:rPr>
              <w:t>Замечание принято в части необходимости исключить терминологическую неопределенность.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Во всей операционной архитектуре первого пилота устанавливается единый коллегиальный орган </w:t>
            </w:r>
            <w:r w:rsidR="002F00D0" w:rsidRPr="002F00D0">
              <w:rPr>
                <w:rFonts w:ascii="Times New Roman" w:hAnsi="Times New Roman" w:cs="Times New Roman"/>
                <w:lang w:val="ru-RU"/>
              </w:rPr>
              <w:t>-</w:t>
            </w:r>
            <w:r w:rsidRPr="002F00D0">
              <w:rPr>
                <w:rFonts w:ascii="Times New Roman" w:hAnsi="Times New Roman" w:cs="Times New Roman"/>
              </w:rPr>
              <w:t> </w:t>
            </w:r>
            <w:r w:rsidRPr="002F00D0">
              <w:rPr>
                <w:rFonts w:ascii="Times New Roman" w:hAnsi="Times New Roman" w:cs="Times New Roman"/>
                <w:lang w:val="ru-RU"/>
              </w:rPr>
              <w:t xml:space="preserve">координационная группа. </w:t>
            </w:r>
            <w:r w:rsidRPr="00B33F02">
              <w:rPr>
                <w:rFonts w:ascii="Times New Roman" w:hAnsi="Times New Roman" w:cs="Times New Roman"/>
                <w:lang w:val="ru-RU"/>
              </w:rPr>
              <w:t xml:space="preserve">Предложение одновременно создавать координационную группу и координационный совет для первого пилота не принято. Такое решение обусловлено принципом соразмерности управленческой структуры масштабу пилота. Создание двух коллегиальных органов с близкими функциями на данном этапе увеличило бы транзакционные издержки, </w:t>
            </w:r>
            <w:r w:rsidRPr="00B33F02">
              <w:rPr>
                <w:rFonts w:ascii="Times New Roman" w:hAnsi="Times New Roman" w:cs="Times New Roman"/>
                <w:lang w:val="ru-RU"/>
              </w:rPr>
              <w:lastRenderedPageBreak/>
              <w:t>создало риск дублирования полномочий и усложнило определение ответственности. При масштабировании модели на несколько ОВПО или большое число организаций может быть введен отдельный стратегический совет, тогда как координационная группа сохранит операционные функции.</w:t>
            </w:r>
          </w:p>
        </w:tc>
      </w:tr>
    </w:tbl>
    <w:p w:rsidR="0074125F" w:rsidRDefault="0074125F" w:rsidP="002F0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Default="009A5267" w:rsidP="002F0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2F00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МАТРИЦА СИСТЕМНЫХ ЗАМЕЧАНИЙ</w:t>
      </w:r>
    </w:p>
    <w:p w:rsidR="002F00D0" w:rsidRDefault="002F00D0" w:rsidP="002F0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Style w:val="a5"/>
        <w:tblW w:w="15163" w:type="dxa"/>
        <w:jc w:val="center"/>
        <w:tblLook w:val="04A0" w:firstRow="1" w:lastRow="0" w:firstColumn="1" w:lastColumn="0" w:noHBand="0" w:noVBand="1"/>
      </w:tblPr>
      <w:tblGrid>
        <w:gridCol w:w="517"/>
        <w:gridCol w:w="2928"/>
        <w:gridCol w:w="1730"/>
        <w:gridCol w:w="1751"/>
        <w:gridCol w:w="1730"/>
        <w:gridCol w:w="1298"/>
        <w:gridCol w:w="2804"/>
        <w:gridCol w:w="2405"/>
      </w:tblGrid>
      <w:tr w:rsidR="00E6002A" w:rsidRPr="00E6002A" w:rsidTr="00E6002A">
        <w:trPr>
          <w:jc w:val="center"/>
        </w:trPr>
        <w:tc>
          <w:tcPr>
            <w:tcW w:w="517" w:type="dxa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  <w:r w:rsidRPr="00E6002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  <w:t>№</w:t>
            </w:r>
          </w:p>
        </w:tc>
        <w:tc>
          <w:tcPr>
            <w:tcW w:w="2928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Системная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проблема</w:t>
            </w:r>
            <w:proofErr w:type="spellEnd"/>
          </w:p>
        </w:tc>
        <w:tc>
          <w:tcPr>
            <w:tcW w:w="1730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Эксперт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1</w:t>
            </w:r>
          </w:p>
        </w:tc>
        <w:tc>
          <w:tcPr>
            <w:tcW w:w="1751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Эксперт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2</w:t>
            </w:r>
          </w:p>
        </w:tc>
        <w:tc>
          <w:tcPr>
            <w:tcW w:w="1730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Эксперт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3</w:t>
            </w:r>
          </w:p>
        </w:tc>
        <w:tc>
          <w:tcPr>
            <w:tcW w:w="1298" w:type="dxa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Требуемое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решение</w:t>
            </w:r>
            <w:proofErr w:type="spellEnd"/>
          </w:p>
        </w:tc>
        <w:tc>
          <w:tcPr>
            <w:tcW w:w="2405" w:type="dxa"/>
            <w:vAlign w:val="center"/>
          </w:tcPr>
          <w:p w:rsidR="002F00D0" w:rsidRPr="00E6002A" w:rsidRDefault="002F00D0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Статус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реализации</w:t>
            </w:r>
            <w:proofErr w:type="spellEnd"/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2F00D0" w:rsidRPr="002F00D0" w:rsidRDefault="002F00D0" w:rsidP="002F00D0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Предмет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апробации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не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конкретизирован</w:t>
            </w:r>
            <w:proofErr w:type="spellEnd"/>
          </w:p>
        </w:tc>
        <w:tc>
          <w:tcPr>
            <w:tcW w:w="1730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1, 10, 11</w:t>
            </w:r>
          </w:p>
        </w:tc>
        <w:tc>
          <w:tcPr>
            <w:tcW w:w="1751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</w:t>
            </w:r>
          </w:p>
        </w:tc>
        <w:tc>
          <w:tcPr>
            <w:tcW w:w="1730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</w:t>
            </w:r>
          </w:p>
        </w:tc>
        <w:tc>
          <w:tcPr>
            <w:tcW w:w="1298" w:type="dxa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Определить предмет апробации как практическую работу семи механизмов сетевого взаимодействия с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операционализированными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индикаторами по каждому механизму.</w:t>
            </w:r>
          </w:p>
        </w:tc>
        <w:tc>
          <w:tcPr>
            <w:tcW w:w="2405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Реализовано через сквозную матрицу (табл. 0.4) и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матрицу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доказательств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(</w:t>
            </w: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табл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>. 0.5).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2F00D0" w:rsidRPr="002F00D0" w:rsidRDefault="002F00D0" w:rsidP="002F00D0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2F00D0">
              <w:rPr>
                <w:rFonts w:ascii="Times New Roman" w:eastAsia="Times New Roman" w:hAnsi="Times New Roman" w:cs="Times New Roman"/>
                <w:szCs w:val="28"/>
              </w:rPr>
              <w:t>Образовательные и сетевые результаты не разграничены</w:t>
            </w:r>
          </w:p>
        </w:tc>
        <w:tc>
          <w:tcPr>
            <w:tcW w:w="1730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10, 11</w:t>
            </w:r>
          </w:p>
        </w:tc>
        <w:tc>
          <w:tcPr>
            <w:tcW w:w="1751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</w:t>
            </w:r>
          </w:p>
        </w:tc>
        <w:tc>
          <w:tcPr>
            <w:tcW w:w="1730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2F00D0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2F00D0">
              <w:rPr>
                <w:rFonts w:ascii="Times New Roman" w:eastAsia="Times New Roman" w:hAnsi="Times New Roman" w:cs="Times New Roman"/>
                <w:szCs w:val="28"/>
              </w:rPr>
              <w:t xml:space="preserve"> 1, 7</w:t>
            </w:r>
          </w:p>
        </w:tc>
        <w:tc>
          <w:tcPr>
            <w:tcW w:w="1298" w:type="dxa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2F00D0">
              <w:rPr>
                <w:rFonts w:ascii="Times New Roman" w:eastAsia="Times New Roman" w:hAnsi="Times New Roman" w:cs="Times New Roman"/>
                <w:szCs w:val="28"/>
              </w:rPr>
              <w:t>Ввести отдельные группы индикаторов для образовательных результатов обучающихся и сетевых эффектов партнерства.</w:t>
            </w:r>
          </w:p>
        </w:tc>
        <w:tc>
          <w:tcPr>
            <w:tcW w:w="2405" w:type="dxa"/>
            <w:vAlign w:val="center"/>
          </w:tcPr>
          <w:p w:rsidR="002F00D0" w:rsidRPr="002F00D0" w:rsidRDefault="002F00D0" w:rsidP="002F00D0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2F00D0">
              <w:rPr>
                <w:rFonts w:ascii="Times New Roman" w:eastAsia="Times New Roman" w:hAnsi="Times New Roman" w:cs="Times New Roman"/>
                <w:szCs w:val="28"/>
              </w:rPr>
              <w:t>Реализовано в разделе 7.1 и табл. 7.4.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Некорректная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оценка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эффективности</w:t>
            </w:r>
            <w:proofErr w:type="spellEnd"/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4, 6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Исключить процентный прирост для порядковой шкалы; переименовать главу 7; разграничить реализуемость, работоспособность и </w:t>
            </w:r>
            <w:r w:rsidRPr="00E6002A">
              <w:rPr>
                <w:rFonts w:ascii="Times New Roman" w:eastAsia="Times New Roman" w:hAnsi="Times New Roman" w:cs="Times New Roman"/>
                <w:szCs w:val="28"/>
              </w:rPr>
              <w:lastRenderedPageBreak/>
              <w:t>причинную эффективность.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lastRenderedPageBreak/>
              <w:t xml:space="preserve">Реализовано: глава 7 переименована, порог 15% исключен, но требуется дополнительное </w:t>
            </w:r>
            <w:r w:rsidRPr="00E6002A">
              <w:rPr>
                <w:rFonts w:ascii="Times New Roman" w:eastAsia="Times New Roman" w:hAnsi="Times New Roman" w:cs="Times New Roman"/>
                <w:szCs w:val="28"/>
              </w:rPr>
              <w:lastRenderedPageBreak/>
              <w:t>исправление таблицы 7.4 (удаление строки).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Терминологическая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несогласованность</w:t>
            </w:r>
            <w:proofErr w:type="spellEnd"/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8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2, 3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9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Унифицировать термины: ОВПО вместо ВУЗ; координационная группа (единый орган); 85% порог наставнических встреч; 7-11 классы для первого пилота.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Реализовано частично: требуется сквозной терминологический контроль.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Механизм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трансфера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операционализирован</w:t>
            </w:r>
            <w:proofErr w:type="spellEnd"/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4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4, 5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Определить полный документируемый цикл трансфера с паспортом и чек-листом внедрения; отличить от разовых консультаций.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Реализовано в разделе 5.5 и приложениях Ш, Щ.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Подготовка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наставников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конкретизирована</w:t>
            </w:r>
            <w:proofErr w:type="spellEnd"/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2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3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Разработать программу подготовки (12 часов), критерии допуска, кодекс поведения.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Реализовано в разделе 2.9.1 и приложении Х.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Роль «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Дарын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>» и ДО не определена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6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Определить как партнеров экосистемы, подключаемых по потребности маршрута, а не постоянных субъектов сети.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Реализовано в разделе 1.1 и RACI-матрице.</w:t>
            </w:r>
          </w:p>
        </w:tc>
      </w:tr>
      <w:tr w:rsidR="00E6002A" w:rsidRPr="002F00D0" w:rsidTr="00E6002A">
        <w:trPr>
          <w:jc w:val="center"/>
        </w:trPr>
        <w:tc>
          <w:tcPr>
            <w:tcW w:w="517" w:type="dxa"/>
          </w:tcPr>
          <w:p w:rsidR="00E6002A" w:rsidRPr="002F00D0" w:rsidRDefault="00E6002A" w:rsidP="00E6002A">
            <w:pPr>
              <w:pStyle w:val="a4"/>
              <w:numPr>
                <w:ilvl w:val="0"/>
                <w:numId w:val="6"/>
              </w:numPr>
              <w:ind w:left="0" w:firstLine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</w:p>
        </w:tc>
        <w:tc>
          <w:tcPr>
            <w:tcW w:w="2928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Устойчивость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оценивается</w:t>
            </w:r>
            <w:proofErr w:type="spellEnd"/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Замечание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7</w:t>
            </w:r>
          </w:p>
        </w:tc>
        <w:tc>
          <w:tcPr>
            <w:tcW w:w="1751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730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—</w:t>
            </w:r>
          </w:p>
        </w:tc>
        <w:tc>
          <w:tcPr>
            <w:tcW w:w="1298" w:type="dxa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Ввести контрольную точку T6 для проверки фактического продолжения практик через 3-4 месяца.</w:t>
            </w:r>
          </w:p>
        </w:tc>
        <w:tc>
          <w:tcPr>
            <w:tcW w:w="240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Реализовано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в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разделе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8.2.</w:t>
            </w:r>
          </w:p>
        </w:tc>
      </w:tr>
    </w:tbl>
    <w:p w:rsidR="002F00D0" w:rsidRPr="002F00D0" w:rsidRDefault="002F00D0" w:rsidP="002F0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Pr="009A5267" w:rsidRDefault="009A5267" w:rsidP="009A52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8"/>
        </w:rPr>
      </w:pPr>
    </w:p>
    <w:p w:rsidR="009A5267" w:rsidRDefault="009A5267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МАТРИЦА АПРОБАЦИИ СЕМИ МЕХАНИЗМОВ</w:t>
      </w:r>
    </w:p>
    <w:p w:rsidR="00E6002A" w:rsidRDefault="00E6002A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Style w:val="a5"/>
        <w:tblW w:w="14190" w:type="dxa"/>
        <w:tblLook w:val="04A0" w:firstRow="1" w:lastRow="0" w:firstColumn="1" w:lastColumn="0" w:noHBand="0" w:noVBand="1"/>
      </w:tblPr>
      <w:tblGrid>
        <w:gridCol w:w="550"/>
        <w:gridCol w:w="3455"/>
        <w:gridCol w:w="3409"/>
        <w:gridCol w:w="3633"/>
        <w:gridCol w:w="3143"/>
      </w:tblGrid>
      <w:tr w:rsidR="00E6002A" w:rsidRPr="00E6002A" w:rsidTr="00E6002A">
        <w:tc>
          <w:tcPr>
            <w:tcW w:w="550" w:type="dxa"/>
          </w:tcPr>
          <w:p w:rsidR="00E6002A" w:rsidRPr="00E6002A" w:rsidRDefault="00E6002A" w:rsidP="00E6002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</w:pPr>
            <w:r w:rsidRPr="00E6002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val="ru-RU"/>
              </w:rPr>
              <w:t>№</w:t>
            </w: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Механизм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модели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Что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апробируем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Основное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доказательство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jc w:val="center"/>
              <w:rPr>
                <w:rFonts w:ascii="Times New Roman" w:eastAsia="Times New Roman" w:hAnsi="Times New Roman" w:cs="Times New Roman"/>
                <w:b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Критерий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b/>
                <w:szCs w:val="28"/>
              </w:rPr>
              <w:t>успешности</w:t>
            </w:r>
            <w:proofErr w:type="spellEnd"/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Совместное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проектирование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Реальный вклад школы, ОВПО и обучающегося</w:t>
            </w:r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Карточка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маршрута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+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протокол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Вклад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сторон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документирован</w:t>
            </w:r>
            <w:proofErr w:type="spellEnd"/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Взаимный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обмен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ресурсами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Фактическое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использование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Журнал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ресурсов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Есть получатель, объем и результат</w:t>
            </w:r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Интеграционный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трансфер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Освоение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и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перенос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технологии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Паспорт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+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чек-лист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Полный цикл и повторное применение</w:t>
            </w:r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Совместное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наставничество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Распределенная работа наставника и педагога</w:t>
            </w:r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Журнал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+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продукты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≥85%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содержательных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встреч</w:t>
            </w:r>
            <w:proofErr w:type="spellEnd"/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Профессиональное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взаимообучение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Изменение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педагогической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практики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Продукт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+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интервью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+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наблюдение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Методика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применена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повторно</w:t>
            </w:r>
            <w:proofErr w:type="spellEnd"/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Совместные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решения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Реальное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распределенное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управление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Журнал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решений</w:t>
            </w:r>
            <w:proofErr w:type="spellEnd"/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Решения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исполнены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>/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пересмотрены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документированно</w:t>
            </w:r>
            <w:proofErr w:type="spellEnd"/>
          </w:p>
        </w:tc>
      </w:tr>
      <w:tr w:rsidR="00E6002A" w:rsidTr="00E6002A">
        <w:tc>
          <w:tcPr>
            <w:tcW w:w="550" w:type="dxa"/>
          </w:tcPr>
          <w:p w:rsidR="00E6002A" w:rsidRPr="00E6002A" w:rsidRDefault="00E6002A" w:rsidP="00E6002A">
            <w:pPr>
              <w:pStyle w:val="a4"/>
              <w:numPr>
                <w:ilvl w:val="0"/>
                <w:numId w:val="7"/>
              </w:numPr>
              <w:ind w:left="26" w:hanging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55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Устойчивость</w:t>
            </w:r>
            <w:proofErr w:type="spellEnd"/>
          </w:p>
        </w:tc>
        <w:tc>
          <w:tcPr>
            <w:tcW w:w="3409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Продолжение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практики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после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цикла</w:t>
            </w:r>
            <w:proofErr w:type="spellEnd"/>
          </w:p>
        </w:tc>
        <w:tc>
          <w:tcPr>
            <w:tcW w:w="363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proofErr w:type="spellStart"/>
            <w:r w:rsidRPr="00E6002A">
              <w:rPr>
                <w:rFonts w:ascii="Times New Roman" w:eastAsia="Times New Roman" w:hAnsi="Times New Roman" w:cs="Times New Roman"/>
                <w:szCs w:val="28"/>
              </w:rPr>
              <w:t>Данные</w:t>
            </w:r>
            <w:proofErr w:type="spellEnd"/>
            <w:r w:rsidRPr="00E6002A">
              <w:rPr>
                <w:rFonts w:ascii="Times New Roman" w:eastAsia="Times New Roman" w:hAnsi="Times New Roman" w:cs="Times New Roman"/>
                <w:szCs w:val="28"/>
              </w:rPr>
              <w:t xml:space="preserve"> T6</w:t>
            </w:r>
          </w:p>
        </w:tc>
        <w:tc>
          <w:tcPr>
            <w:tcW w:w="3143" w:type="dxa"/>
            <w:vAlign w:val="center"/>
          </w:tcPr>
          <w:p w:rsidR="00E6002A" w:rsidRPr="00E6002A" w:rsidRDefault="00E6002A" w:rsidP="00E6002A">
            <w:pPr>
              <w:rPr>
                <w:rFonts w:ascii="Times New Roman" w:eastAsia="Times New Roman" w:hAnsi="Times New Roman" w:cs="Times New Roman"/>
                <w:szCs w:val="28"/>
              </w:rPr>
            </w:pPr>
            <w:r w:rsidRPr="00E6002A">
              <w:rPr>
                <w:rFonts w:ascii="Times New Roman" w:eastAsia="Times New Roman" w:hAnsi="Times New Roman" w:cs="Times New Roman"/>
                <w:szCs w:val="28"/>
              </w:rPr>
              <w:t>Сохраняются связи, ресурсы или маршруты</w:t>
            </w:r>
          </w:p>
        </w:tc>
      </w:tr>
    </w:tbl>
    <w:p w:rsidR="0074125F" w:rsidRDefault="0074125F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Default="009A5267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ПЕРЕЧЕНЬ ОБЯЗАТЕЛЬНЫХ КОРРЕКТИРОВОК, ТРЕБУЮЩИХ ЗАВЕРШЕНИЯ ДО НАПРАВЛЕНИЯ ЭКСПЕРТАМ</w:t>
      </w:r>
    </w:p>
    <w:p w:rsidR="00E6002A" w:rsidRPr="00E6002A" w:rsidRDefault="00E6002A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Pr="00E6002A" w:rsidRDefault="009A5267" w:rsidP="00E6002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Удалить показатель «средний прирост компетенций ≥15%» из таблицы 7.4 и заменить корректным способом представления динамики порядковой шкалы (медиана, доли, распределения).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Это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исправление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пока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завершено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 требует финальной правки.</w:t>
      </w:r>
    </w:p>
    <w:p w:rsidR="009A5267" w:rsidRPr="00E6002A" w:rsidRDefault="009A5267" w:rsidP="00E6002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Провести сквозную унификацию возрастной группы: «область модели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11 классы; первый пилот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11 классы».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Удалить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противоречащую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формулировку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модель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предназначена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11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классов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».</w:t>
      </w:r>
    </w:p>
    <w:p w:rsidR="009A5267" w:rsidRPr="00E6002A" w:rsidRDefault="009A5267" w:rsidP="00E6002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Провести поиск всех оставшихся употреблений «ВУЗ», включая рисунки и схемы, и заменить на ОВПО там, где речь идет о нормативном/родовом обозначении организации.</w:t>
      </w:r>
    </w:p>
    <w:p w:rsidR="009A5267" w:rsidRPr="00E6002A" w:rsidRDefault="009A5267" w:rsidP="00E6002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Проверить SMART-задачу о составе сети. В текущем тексте встречается формулировка, согласно которой должны быть подписаны соглашения со школами, университетом, центром «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Дарын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 и организацией дополнительного образования. Она противоречит позиции авторов по замечанию 3.6, согласно которой «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Дарын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и ДО являются подключаемыми ресурсными партнерами и не должны быть обязательным условием каждого пилота.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Это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также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следует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унифицировать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A5267" w:rsidRPr="00E6002A" w:rsidRDefault="009A5267" w:rsidP="00E6002A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9A5267" w:rsidRDefault="009A5267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ЗАКЛЮЧЕНИЕ</w:t>
      </w:r>
    </w:p>
    <w:p w:rsidR="00E6002A" w:rsidRPr="00E6002A" w:rsidRDefault="00E6002A" w:rsidP="00E600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результатам сопоставления всех замечаний экспертов и внесенных изменений авторский коллектив подтверждает, что: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Предмет апробации конкретизирован как практическая работа семи механизмов сетевого взаимодействия с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операционализированными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индикаторами.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Образовательные и сетевые результаты разграничены: введены отдельные группы индикаторов для образовательных результатов обучающихся и сетевых эффектов партнерства.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Методологические противоречия устранены: исключен некорректный процентный прирост для порядковой шкалы, переименована глава 7, разграничены реализуемость, работоспособность и причинная эффективность.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Терминология унифицирована: ОВПО вместо ВУЗ; координационная группа (единый орган); 85% порог наставнических встреч; 7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11 классы для первого пилота (требуется завершающая сверка).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Механизм трансфера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операционализирован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через полный документируемый цикл с паспортом и чек-листом внедрения.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Подготовка наставников конкретизирована: 12-часовая программа с критериями допуска и кодексом поведения.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Роль «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Дарын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 и ДО определена как партнеров экосистемы, подключаемых по потребности маршрута.</w:t>
      </w:r>
    </w:p>
    <w:p w:rsidR="009A5267" w:rsidRPr="00E6002A" w:rsidRDefault="009A5267" w:rsidP="00E6002A">
      <w:pPr>
        <w:pStyle w:val="a4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Оценка устойчивости введена через контрольную точку T6.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Научно-методически сильная позиция авторского коллектива состоит в прозрачной фиксации: замечание → экспертная оценка его обоснованности → принятое решение → конкретное изменение МР → инструмент доказательства → точное место изменения → остаточная корректировка, если она необходима. Именно такой подход обеспечивает не формальную отписку, а содержательную доработку документа.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Итоговая редакция МР позиционирует себя как прикладной протокол апробации, а численность, частоту встреч и целевые пороги относит к авторским гипотезам/организационным решениям первого цикла до их эмпирической проверки. Это позволяет защищать вариативность модели, не выдавая пилотные параметры за нормативно или эмпирически доказанные универсальные стандарты.</w:t>
      </w:r>
    </w:p>
    <w:p w:rsidR="009A5267" w:rsidRDefault="009A5267" w:rsidP="00E6002A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8"/>
        </w:rPr>
      </w:pPr>
    </w:p>
    <w:p w:rsidR="002F00D0" w:rsidRPr="009A5267" w:rsidRDefault="002F00D0" w:rsidP="00E6002A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8"/>
        </w:rPr>
      </w:pPr>
    </w:p>
    <w:p w:rsidR="00847270" w:rsidRDefault="00847270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Дата подготовки: 23 августа 2026 г.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Авторский коллектив: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Сатанов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А. Б.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PhD, ассистент-профессор Astana IT University, научный сотрудник научно-исследовательской лаборатории при РУМЦДО МП РК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Котов С. О.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кандидат PhD, руководитель научно-исследовательской лаборатории при РУМЦДО МП РК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Махметов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А. Е.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PhD, </w:t>
      </w: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постдокторант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Назарбаев университета</w:t>
      </w:r>
    </w:p>
    <w:p w:rsidR="009A5267" w:rsidRPr="00E6002A" w:rsidRDefault="009A5267" w:rsidP="00E600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Абишева</w:t>
      </w:r>
      <w:proofErr w:type="spellEnd"/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Г. А. </w:t>
      </w:r>
      <w:r w:rsidR="002F00D0"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E6002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соискатель ученой степени кандидата педагогических наук Белорусского государственного педагогического университета имени Максима Танка</w:t>
      </w:r>
    </w:p>
    <w:p w:rsidR="009A5267" w:rsidRDefault="009A5267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1"/>
        <w:rPr>
          <w:rFonts w:cs="Times New Roman"/>
          <w:b/>
          <w:bCs/>
          <w:color w:val="0F1115"/>
          <w:szCs w:val="24"/>
          <w:lang w:val="ru-RU"/>
        </w:rPr>
      </w:pPr>
      <w:r w:rsidRPr="00C360E5">
        <w:rPr>
          <w:rFonts w:cs="Times New Roman"/>
          <w:b/>
          <w:bCs/>
          <w:color w:val="0F1115"/>
          <w:szCs w:val="24"/>
          <w:highlight w:val="yellow"/>
          <w:lang w:val="ru-RU"/>
        </w:rPr>
        <w:lastRenderedPageBreak/>
        <w:t>ИЗМЕНЕНИЯ В МЕТОДИЧЕСКОЕ РУКОВОДСТВО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1. Устранение противоречия между порядковой шкалой и процентным приростом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7, Таблица 7.4 «Количественные индикаторы», строка «Средний прирост результата»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proofErr w:type="gramStart"/>
      <w:r w:rsidRPr="00F078DF">
        <w:rPr>
          <w:rFonts w:cs="Times New Roman"/>
          <w:color w:val="0F1115"/>
          <w:szCs w:val="24"/>
          <w:lang w:val="ru-RU"/>
        </w:rPr>
        <w:t>В</w:t>
      </w:r>
      <w:proofErr w:type="gramEnd"/>
      <w:r w:rsidRPr="00F078DF">
        <w:rPr>
          <w:rFonts w:cs="Times New Roman"/>
          <w:color w:val="0F1115"/>
          <w:szCs w:val="24"/>
          <w:lang w:val="ru-RU"/>
        </w:rPr>
        <w:t xml:space="preserve"> таблице 7.4 указан показатель «Средний прирост результата ≥15%» с формулой расчета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shd w:val="clear" w:color="auto" w:fill="EBEEF2"/>
          <w:lang w:val="ru-RU"/>
        </w:rPr>
        <w:t xml:space="preserve">(Средний </w:t>
      </w:r>
      <w:r w:rsidRPr="00F078DF">
        <w:rPr>
          <w:rFonts w:cs="Times New Roman"/>
          <w:color w:val="0F1115"/>
          <w:szCs w:val="24"/>
          <w:shd w:val="clear" w:color="auto" w:fill="EBEEF2"/>
        </w:rPr>
        <w:t>T</w:t>
      </w:r>
      <w:r w:rsidRPr="00F078DF">
        <w:rPr>
          <w:rFonts w:cs="Times New Roman"/>
          <w:color w:val="0F1115"/>
          <w:szCs w:val="24"/>
          <w:shd w:val="clear" w:color="auto" w:fill="EBEEF2"/>
          <w:lang w:val="ru-RU"/>
        </w:rPr>
        <w:t xml:space="preserve">4 − средний </w:t>
      </w:r>
      <w:r w:rsidRPr="00F078DF">
        <w:rPr>
          <w:rFonts w:cs="Times New Roman"/>
          <w:color w:val="0F1115"/>
          <w:szCs w:val="24"/>
          <w:shd w:val="clear" w:color="auto" w:fill="EBEEF2"/>
        </w:rPr>
        <w:t>T</w:t>
      </w:r>
      <w:r w:rsidRPr="00F078DF">
        <w:rPr>
          <w:rFonts w:cs="Times New Roman"/>
          <w:color w:val="0F1115"/>
          <w:szCs w:val="24"/>
          <w:shd w:val="clear" w:color="auto" w:fill="EBEEF2"/>
          <w:lang w:val="ru-RU"/>
        </w:rPr>
        <w:t xml:space="preserve">0) / средний </w:t>
      </w:r>
      <w:r w:rsidRPr="00F078DF">
        <w:rPr>
          <w:rFonts w:cs="Times New Roman"/>
          <w:color w:val="0F1115"/>
          <w:szCs w:val="24"/>
          <w:shd w:val="clear" w:color="auto" w:fill="EBEEF2"/>
        </w:rPr>
        <w:t>T</w:t>
      </w:r>
      <w:r w:rsidRPr="00F078DF">
        <w:rPr>
          <w:rFonts w:cs="Times New Roman"/>
          <w:color w:val="0F1115"/>
          <w:szCs w:val="24"/>
          <w:shd w:val="clear" w:color="auto" w:fill="EBEEF2"/>
          <w:lang w:val="ru-RU"/>
        </w:rPr>
        <w:t>0 × 100%</w:t>
      </w:r>
      <w:r w:rsidRPr="00F078DF">
        <w:rPr>
          <w:rFonts w:cs="Times New Roman"/>
          <w:color w:val="0F1115"/>
          <w:szCs w:val="24"/>
          <w:lang w:val="ru-RU"/>
        </w:rPr>
        <w:t>, что методологически некорректно для порядковой шкалы 1–4. В разделе 7.1 (стр. 90) правильно указано: «Шкала 1–4 является порядковой. Относительный процентный прирост по ней не рассчитывается». Это внутреннее противоречие требует устранения.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Удалить строку «Средний прирост результата ≥15%» из таблицы 7.4. </w:t>
      </w:r>
      <w:proofErr w:type="spellStart"/>
      <w:r w:rsidRPr="00F078DF">
        <w:rPr>
          <w:rFonts w:cs="Times New Roman"/>
          <w:color w:val="0F1115"/>
          <w:szCs w:val="24"/>
        </w:rPr>
        <w:t>Заменить</w:t>
      </w:r>
      <w:proofErr w:type="spellEnd"/>
      <w:r w:rsidRPr="00F078DF">
        <w:rPr>
          <w:rFonts w:cs="Times New Roman"/>
          <w:color w:val="0F1115"/>
          <w:szCs w:val="24"/>
        </w:rPr>
        <w:t xml:space="preserve"> </w:t>
      </w:r>
      <w:proofErr w:type="spellStart"/>
      <w:r w:rsidRPr="00F078DF">
        <w:rPr>
          <w:rFonts w:cs="Times New Roman"/>
          <w:color w:val="0F1115"/>
          <w:szCs w:val="24"/>
        </w:rPr>
        <w:t>на</w:t>
      </w:r>
      <w:proofErr w:type="spellEnd"/>
      <w:r w:rsidRPr="00F078DF">
        <w:rPr>
          <w:rFonts w:cs="Times New Roman"/>
          <w:color w:val="0F1115"/>
          <w:szCs w:val="24"/>
        </w:rPr>
        <w:t xml:space="preserve"> </w:t>
      </w:r>
      <w:proofErr w:type="spellStart"/>
      <w:r w:rsidRPr="00F078DF">
        <w:rPr>
          <w:rFonts w:cs="Times New Roman"/>
          <w:color w:val="0F1115"/>
          <w:szCs w:val="24"/>
        </w:rPr>
        <w:t>следующие</w:t>
      </w:r>
      <w:proofErr w:type="spellEnd"/>
      <w:r w:rsidRPr="00F078DF">
        <w:rPr>
          <w:rFonts w:cs="Times New Roman"/>
          <w:color w:val="0F1115"/>
          <w:szCs w:val="24"/>
        </w:rPr>
        <w:t xml:space="preserve"> </w:t>
      </w:r>
      <w:proofErr w:type="spellStart"/>
      <w:r w:rsidRPr="00F078DF">
        <w:rPr>
          <w:rFonts w:cs="Times New Roman"/>
          <w:color w:val="0F1115"/>
          <w:szCs w:val="24"/>
        </w:rPr>
        <w:t>показатели</w:t>
      </w:r>
      <w:proofErr w:type="spellEnd"/>
      <w:r w:rsidRPr="00F078DF">
        <w:rPr>
          <w:rFonts w:cs="Times New Roman"/>
          <w:color w:val="0F1115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8"/>
        <w:gridCol w:w="3286"/>
        <w:gridCol w:w="4208"/>
        <w:gridCol w:w="2883"/>
        <w:gridCol w:w="1677"/>
      </w:tblGrid>
      <w:tr w:rsidR="00C360E5" w:rsidRPr="00F078DF" w:rsidTr="00252B4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Направление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Индикатор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Способ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расчета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Целевое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значение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Источник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данных</w:t>
            </w:r>
            <w:proofErr w:type="spellEnd"/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Компетенции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Медиана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абсолютного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изменения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Медиана (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 xml:space="preserve">4 -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0) по каждому критерию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Положительное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значение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Диагностика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Т0/Т4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Компетенции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Доля обучающихся с повышением ≥1 уровня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Число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повысившихся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F078DF">
              <w:rPr>
                <w:rFonts w:cs="Times New Roman"/>
                <w:szCs w:val="24"/>
              </w:rPr>
              <w:t>общее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число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× 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≥70%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Диагностика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Т0/Т4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Компетенции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Доля обучающихся, сохранивших высокий уровень (4)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Число сохранивших уровень 4 / общее число × 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≥50%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Диагностика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Т0/Т4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Компетенции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Распределение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изменений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критериям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Количество критериев с положительной, нулевой и отрицательной динамикой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Преобладание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положительной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динамики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Диагностика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Т0/Т4</w:t>
            </w:r>
          </w:p>
        </w:tc>
      </w:tr>
    </w:tbl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 w:rsidRPr="00F078DF">
        <w:rPr>
          <w:rFonts w:cs="Times New Roman"/>
          <w:color w:val="0F1115"/>
          <w:szCs w:val="24"/>
        </w:rPr>
        <w:t xml:space="preserve">В </w:t>
      </w:r>
      <w:proofErr w:type="spellStart"/>
      <w:r w:rsidRPr="00F078DF">
        <w:rPr>
          <w:rFonts w:cs="Times New Roman"/>
          <w:color w:val="0F1115"/>
          <w:szCs w:val="24"/>
        </w:rPr>
        <w:t>разделе</w:t>
      </w:r>
      <w:proofErr w:type="spellEnd"/>
      <w:r w:rsidRPr="00F078DF">
        <w:rPr>
          <w:rFonts w:cs="Times New Roman"/>
          <w:color w:val="0F1115"/>
          <w:szCs w:val="24"/>
        </w:rPr>
        <w:t xml:space="preserve"> 7.1 </w:t>
      </w:r>
      <w:proofErr w:type="spellStart"/>
      <w:r w:rsidRPr="00F078DF">
        <w:rPr>
          <w:rFonts w:cs="Times New Roman"/>
          <w:color w:val="0F1115"/>
          <w:szCs w:val="24"/>
        </w:rPr>
        <w:t>дополнить</w:t>
      </w:r>
      <w:proofErr w:type="spellEnd"/>
      <w:r w:rsidRPr="00F078DF">
        <w:rPr>
          <w:rFonts w:cs="Times New Roman"/>
          <w:color w:val="0F1115"/>
          <w:szCs w:val="24"/>
        </w:rPr>
        <w:t>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«Для оценки динамики используются следующие показатели: медиана абсолютного изменения по каждому критерию, 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межквартильный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 xml:space="preserve"> размах, распределение изменений (положительная/нулевая/отрицательная динамика), доля обучающихся с повышением не менее чем на один уровень и доля обучающихся, сохранивших высокий (4) уровень. Интервалы неопределенности указываются там, где объем и свойства данных позволяют их корректно оценить. Порог 15% исключен как универсальный критерий, поскольку порядковая шкала не позволяет </w:t>
      </w:r>
      <w:r w:rsidRPr="00F078DF">
        <w:rPr>
          <w:rFonts w:cs="Times New Roman"/>
          <w:color w:val="0F1115"/>
          <w:szCs w:val="24"/>
          <w:lang w:val="ru-RU"/>
        </w:rPr>
        <w:lastRenderedPageBreak/>
        <w:t>рассчитывать относительный процентный прирост. Любой числовой ориентир динамики получает статус предварительной гипотезы пилота и пересматривается после анализа исходного распределения и надежности рубрики».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2, замечание 4.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3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2. Унификация термина «координационная группа»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2, разделы 2.3, 2.10, 2.17, Приложение Д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proofErr w:type="gramStart"/>
      <w:r w:rsidRPr="00F078DF">
        <w:rPr>
          <w:rFonts w:cs="Times New Roman"/>
          <w:color w:val="0F1115"/>
          <w:szCs w:val="24"/>
          <w:lang w:val="ru-RU"/>
        </w:rPr>
        <w:t>В</w:t>
      </w:r>
      <w:proofErr w:type="gramEnd"/>
      <w:r w:rsidRPr="00F078DF">
        <w:rPr>
          <w:rFonts w:cs="Times New Roman"/>
          <w:color w:val="0F1115"/>
          <w:szCs w:val="24"/>
          <w:lang w:val="ru-RU"/>
        </w:rPr>
        <w:t xml:space="preserve"> тексте МР используется как термин «координационная группа», так и «координационный совет» (в ряде мест). Эксперт 3 (замечание 9) рекомендует унифицировать наименование и разграничить функции двух органов. Авторская позиция — для первого пилота достаточно одного органа.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Во всех разделах МР использовать единое наименование —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b/>
          <w:bCs/>
          <w:color w:val="0F1115"/>
          <w:szCs w:val="24"/>
          <w:lang w:val="ru-RU"/>
        </w:rPr>
        <w:t>«координационная группа»</w:t>
      </w:r>
      <w:r w:rsidRPr="00F078DF">
        <w:rPr>
          <w:rFonts w:cs="Times New Roman"/>
          <w:color w:val="0F1115"/>
          <w:szCs w:val="24"/>
          <w:lang w:val="ru-RU"/>
        </w:rPr>
        <w:t>. В разделе 2.3 дополнить: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«Для ограниченного первого пилота создается единый коллегиальный орган управления — координационная группа, объединяющая 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межорганизационные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 xml:space="preserve"> управленческие функции. В состав группы входят руководитель пилота (председатель), координатор университета (секретарь), представители ключевых факультетов/кафедр, юридической службы, службы безопасности, специалист по цифровым системам, представители школ, психолог. При расширении числа участников и направлений координационная группа может быть преобразована в координационный совет с расширенными полномочиями либо дополнена стратегическим органом. В текущем пилоте разделение на совет и группу не предусмотрено во избежание дублирования мандатов и замедления принятия решений».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3, замечание 9.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4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3. Унификация термина «ОВПО»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1, раздел 1.1; все упоминания «ВУЗ» в тексте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proofErr w:type="gramStart"/>
      <w:r w:rsidRPr="00F078DF">
        <w:rPr>
          <w:rFonts w:cs="Times New Roman"/>
          <w:color w:val="0F1115"/>
          <w:szCs w:val="24"/>
          <w:lang w:val="ru-RU"/>
        </w:rPr>
        <w:t>В</w:t>
      </w:r>
      <w:proofErr w:type="gramEnd"/>
      <w:r w:rsidRPr="00F078DF">
        <w:rPr>
          <w:rFonts w:cs="Times New Roman"/>
          <w:color w:val="0F1115"/>
          <w:szCs w:val="24"/>
          <w:lang w:val="ru-RU"/>
        </w:rPr>
        <w:t xml:space="preserve"> ряде мест МР используется термин «ВУЗ» вместо нормативного «организация высшего и (или) послевузовского образования (ОВПО)». Эксперт 1 (замечание 8) указывает на необходимость замены.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нормативно значимых и операционных формулировках заменить «ВУЗ» на «ОВПО». В разделе 1.1 добавить: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«Название «Школа–Университет» сохранено как краткое коммуникативное наименование модели, тогда как в содержательных положениях применяется юридически точный термин «организация высшего и (или) послевузовского образования (ОВПО)». Модель распространяется на все виды ОВПО, имеющие ресурсы для реализации пилота. Первый пилот реализуется одной ОВПО-оператором с участием школ, центра «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>», организаций дополнительного образования и факультативных партнеров. Дополнительные ОВПО подключаются только при наличии подтвержденного ресурса и отдельного соглашения».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lastRenderedPageBreak/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1, замечание 8.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5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4. Уточнение роли центра «</w:t>
      </w:r>
      <w:proofErr w:type="spellStart"/>
      <w:r w:rsidRPr="00F078DF">
        <w:rPr>
          <w:rFonts w:cs="Times New Roman"/>
          <w:b/>
          <w:bCs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b/>
          <w:bCs/>
          <w:color w:val="0F1115"/>
          <w:szCs w:val="24"/>
          <w:lang w:val="ru-RU"/>
        </w:rPr>
        <w:t>» и организаций дополнительного образования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1, раздел 1.1; Глава 2, раздел 2.10; Приложение Д (</w:t>
      </w:r>
      <w:r w:rsidRPr="00F078DF">
        <w:rPr>
          <w:rFonts w:cs="Times New Roman"/>
          <w:color w:val="0F1115"/>
          <w:szCs w:val="24"/>
        </w:rPr>
        <w:t>RACI</w:t>
      </w:r>
      <w:r w:rsidRPr="00F078DF">
        <w:rPr>
          <w:rFonts w:cs="Times New Roman"/>
          <w:color w:val="0F1115"/>
          <w:szCs w:val="24"/>
          <w:lang w:val="ru-RU"/>
        </w:rPr>
        <w:t>-матрица)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Роль центра «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>» и организаций дополнительного образования не конкретизирована. Эксперт 3 (замечание 6) требует определить, являются ли они постоянными субъектами сети или партнерами отдельных маршрутов.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раздел 1.1 включить: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«Организации дополнительного образования включаются в модель в зависимости от направления и содержания конкретного образовательного маршрута. Их участие может быть связано с развитием музыкальной, художественной, театральной, хореографической, технической, экологической, туристско-краеведческой, социально-гуманитарной и иной одаренности. Региональный центр «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>» оказывает поддержку с подготовкой к предметным олимпиадам и сопровождением исследовательских проектов. Участие дополнительных партнеров в сети «Школа–Университет» определяется наличием соответствующей потребности и доступного ресурса.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Центр «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>» и организации дополнительного образования являются партнерами экосистемы и подключаются в пределах полномочий и потребностей маршрута. Их участие не должно становиться обязательным условием каждого пилота. Корневая ответственность за реализацию маршрута, безопасность и качество остается за оператором (ОВПО) и школой».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В </w:t>
      </w:r>
      <w:r w:rsidRPr="00F078DF">
        <w:rPr>
          <w:rFonts w:cs="Times New Roman"/>
          <w:color w:val="0F1115"/>
          <w:szCs w:val="24"/>
        </w:rPr>
        <w:t>RACI</w:t>
      </w:r>
      <w:r w:rsidRPr="00F078DF">
        <w:rPr>
          <w:rFonts w:cs="Times New Roman"/>
          <w:color w:val="0F1115"/>
          <w:szCs w:val="24"/>
          <w:lang w:val="ru-RU"/>
        </w:rPr>
        <w:t>-матрице (Приложение Д) добавить строки: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2"/>
        <w:gridCol w:w="1107"/>
        <w:gridCol w:w="1028"/>
        <w:gridCol w:w="1951"/>
        <w:gridCol w:w="2178"/>
      </w:tblGrid>
      <w:tr w:rsidR="00C360E5" w:rsidRPr="00F078DF" w:rsidTr="00252B4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Процесс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ОВПО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Центр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«</w:t>
            </w:r>
            <w:proofErr w:type="spellStart"/>
            <w:r w:rsidRPr="00F078DF">
              <w:rPr>
                <w:rFonts w:cs="Times New Roman"/>
                <w:szCs w:val="24"/>
              </w:rPr>
              <w:t>Дарын</w:t>
            </w:r>
            <w:proofErr w:type="spellEnd"/>
            <w:r w:rsidRPr="00F078DF">
              <w:rPr>
                <w:rFonts w:cs="Times New Roman"/>
                <w:szCs w:val="24"/>
              </w:rPr>
              <w:t>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Доп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. </w:t>
            </w:r>
            <w:proofErr w:type="spellStart"/>
            <w:r w:rsidRPr="00F078DF">
              <w:rPr>
                <w:rFonts w:cs="Times New Roman"/>
                <w:szCs w:val="24"/>
              </w:rPr>
              <w:t>образование</w:t>
            </w:r>
            <w:proofErr w:type="spellEnd"/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Выявление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и </w:t>
            </w:r>
            <w:proofErr w:type="spellStart"/>
            <w:r w:rsidRPr="00F078DF">
              <w:rPr>
                <w:rFonts w:cs="Times New Roman"/>
                <w:szCs w:val="24"/>
              </w:rPr>
              <w:t>рекомендация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A/R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C/I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I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Предоставление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ресурсов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A/R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R (</w:t>
            </w:r>
            <w:proofErr w:type="spellStart"/>
            <w:r w:rsidRPr="00F078DF">
              <w:rPr>
                <w:rFonts w:cs="Times New Roman"/>
                <w:szCs w:val="24"/>
              </w:rPr>
              <w:t>по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запросу</w:t>
            </w:r>
            <w:proofErr w:type="spellEnd"/>
            <w:r w:rsidRPr="00F078DF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R (</w:t>
            </w:r>
            <w:proofErr w:type="spellStart"/>
            <w:r w:rsidRPr="00F078DF">
              <w:rPr>
                <w:rFonts w:cs="Times New Roman"/>
                <w:szCs w:val="24"/>
              </w:rPr>
              <w:t>по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запросу</w:t>
            </w:r>
            <w:proofErr w:type="spellEnd"/>
            <w:r w:rsidRPr="00F078DF">
              <w:rPr>
                <w:rFonts w:cs="Times New Roman"/>
                <w:szCs w:val="24"/>
              </w:rPr>
              <w:t>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Олимпиадная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подготовка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A/R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C</w:t>
            </w:r>
          </w:p>
        </w:tc>
      </w:tr>
    </w:tbl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3, замечание 6.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6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5. Уточнение возрастных границ первого пилота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1, раздел 1.1; Глава 4, раздел 4.1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lastRenderedPageBreak/>
        <w:t>Проблема: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3 (замечание 8) требует разграничить потенциальную аудиторию модели (1–11 классы) и целевую группу первого цикла (7–11 классы).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раздел 1.1 включить: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«Модель предназначена для обучающихся 5–11 классов, однако формы и интенсивность участия определяются возрастом. На уровне начального образования (1–4 классы) преимущество отдается развитию познавательной инициативы, наблюдению за интересами и использованию открытых заданий, мини-исследований и творческих проб. В 5–7 классах организуется широкое обогащение образовательного опыта; в 8–9 классах — углубленные модули и регулярное наставничество; в 10–11 классах — индивидуальная или 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минигрупповая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 xml:space="preserve"> научно-исследовательская деятельность под руководством университетского наставника.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Границы первого пилота.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 xml:space="preserve">В первый пилот включаются обучающиеся 7–11 классов. Для каждого участника документируются основания включения, добровольность участия, информированное согласие законного представителя, 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ассист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 xml:space="preserve"> обучающегося, допустимая нагрузка и правила обработки данных. Применение модели в 1–6 классах возможно только после отдельной возрастной адаптации содержания, форматов и требований безопасности. Прямое индивидуальное наставничество с участием ОВПО наиболее обоснованно для подростков 7–11 классов. Для 1–6 классов рекомендуется опосредованное, групповое и 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возрастно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 xml:space="preserve"> безопасное сопровождение через школьного педагога».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3, замечание 8.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7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6. Уточнение конфигурации ОВПО в первом пилоте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1, раздел 1.1; Глава 7, Таблица 7.4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2 (замечание 2) указывает на противоречие между конфигурацией с одним университетом-оператором и количественным показателем участия не менее двух университетов.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раздел 1.1 включить: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«</w:t>
      </w:r>
      <w:r w:rsidRPr="00F078DF">
        <w:rPr>
          <w:rFonts w:cs="Times New Roman"/>
          <w:b/>
          <w:bCs/>
          <w:color w:val="0F1115"/>
          <w:szCs w:val="24"/>
          <w:lang w:val="ru-RU"/>
        </w:rPr>
        <w:t>Предмет апробации и границы первого цикла.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Предметом апробации является практическая работа семи механизмов сетевого взаимодействия. Первый пилот реализуется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b/>
          <w:bCs/>
          <w:color w:val="0F1115"/>
          <w:szCs w:val="24"/>
          <w:lang w:val="ru-RU"/>
        </w:rPr>
        <w:t>одной ОВПО-оператором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с участием школ, центра «</w:t>
      </w:r>
      <w:proofErr w:type="spellStart"/>
      <w:r w:rsidRPr="00F078DF">
        <w:rPr>
          <w:rFonts w:cs="Times New Roman"/>
          <w:color w:val="0F1115"/>
          <w:szCs w:val="24"/>
          <w:lang w:val="ru-RU"/>
        </w:rPr>
        <w:t>Дарын</w:t>
      </w:r>
      <w:proofErr w:type="spellEnd"/>
      <w:r w:rsidRPr="00F078DF">
        <w:rPr>
          <w:rFonts w:cs="Times New Roman"/>
          <w:color w:val="0F1115"/>
          <w:szCs w:val="24"/>
          <w:lang w:val="ru-RU"/>
        </w:rPr>
        <w:t>», организаций дополнительного образования и факультативных партнеров. Дополнительные ОВПО подключаются только при наличии подтвержденного ресурса и отдельного соглашения. Обязательный порог «не менее двух ОВПО» не используется в первом пилоте. Для ограниченного первого пилота единый оператор обеспечивает однозначную ответственность за данные, безопасность, ресурсы и календарь. Само участие двух ОВПО не доказывает сетевой эффект и может размыть ответственность».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таблице 7.4 «Количественные индикаторы» строку «Количество университетов» заменить на: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3323"/>
        <w:gridCol w:w="2272"/>
        <w:gridCol w:w="2207"/>
        <w:gridCol w:w="2113"/>
      </w:tblGrid>
      <w:tr w:rsidR="00C360E5" w:rsidRPr="00F078DF" w:rsidTr="00252B4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lastRenderedPageBreak/>
              <w:t>Направление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Индикатор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Способ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расчета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Целевое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значение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Источник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данных</w:t>
            </w:r>
            <w:proofErr w:type="spellEnd"/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Охват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сети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Количество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ОВПО-</w:t>
            </w:r>
            <w:proofErr w:type="spellStart"/>
            <w:r w:rsidRPr="00F078DF">
              <w:rPr>
                <w:rFonts w:cs="Times New Roman"/>
                <w:szCs w:val="24"/>
              </w:rPr>
              <w:t>операторов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Фактическое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число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 (</w:t>
            </w:r>
            <w:proofErr w:type="spellStart"/>
            <w:r w:rsidRPr="00F078DF">
              <w:rPr>
                <w:rFonts w:cs="Times New Roman"/>
                <w:szCs w:val="24"/>
              </w:rPr>
              <w:t>первый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пилот</w:t>
            </w:r>
            <w:proofErr w:type="spellEnd"/>
            <w:r w:rsidRPr="00F078DF">
              <w:rPr>
                <w:rFonts w:cs="Times New Roman"/>
                <w:szCs w:val="24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Приказ</w:t>
            </w:r>
            <w:proofErr w:type="spellEnd"/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Охват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сети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Количество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школ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Фактическое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число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≥10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Соглашения</w:t>
            </w:r>
            <w:proofErr w:type="spellEnd"/>
          </w:p>
        </w:tc>
      </w:tr>
    </w:tbl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2, замечание 2.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</w:rPr>
      </w:pPr>
      <w:r>
        <w:rPr>
          <w:rFonts w:cs="Times New Roman"/>
          <w:color w:val="0F1115"/>
          <w:szCs w:val="24"/>
        </w:rPr>
        <w:pict>
          <v:rect id="_x0000_i1088" style="width:0;height:.75pt" o:hralign="center" o:hrstd="t" o:hr="t" fillcolor="#a0a0a0" stroked="f"/>
        </w:pic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2"/>
        <w:rPr>
          <w:rFonts w:cs="Times New Roman"/>
          <w:b/>
          <w:bCs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Изменение 7. Уточнение показателя устойчивости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Раздел МР: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Глава 8, раздел 8.2; Глава 7, Таблица 7.4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Проблема: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1 (замечание 7) требует оценивать не только наличие соглашений, но и фактическое продолжение практик после завершения проектов.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Предлагаемая редакция: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В раздел 8.2 включить: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«Проверка устойчивости в точке Т6.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 xml:space="preserve">Через 3–4 месяца после завершения основного цикла (точка </w:t>
      </w:r>
      <w:r w:rsidRPr="00F078DF">
        <w:rPr>
          <w:rFonts w:cs="Times New Roman"/>
          <w:color w:val="0F1115"/>
          <w:szCs w:val="24"/>
        </w:rPr>
        <w:t>T</w:t>
      </w:r>
      <w:r w:rsidRPr="00F078DF">
        <w:rPr>
          <w:rFonts w:cs="Times New Roman"/>
          <w:color w:val="0F1115"/>
          <w:szCs w:val="24"/>
          <w:lang w:val="ru-RU"/>
        </w:rPr>
        <w:t>6) координационная группа проводит проверку устойчивости модели по следующим критериям: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продолжилось ли научное наставничество (наставник продолжает работать с обучающимся или с новыми участниками);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сохранен ли доступ школы к ресурсам ОВПО (лабораториям, базам данных, экспертам);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созданы ли новые индивидуальные образовательные маршруты с участием ОВПО;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применяет ли школьный педагог полученную методику повторно;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зафиксированы ли новые профессиональные контакты между школой и ОВПО;</w:t>
      </w:r>
    </w:p>
    <w:p w:rsidR="00C360E5" w:rsidRPr="00F078DF" w:rsidRDefault="00C360E5" w:rsidP="00C360E5">
      <w:pPr>
        <w:numPr>
          <w:ilvl w:val="0"/>
          <w:numId w:val="1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 w:line="240" w:lineRule="auto"/>
        <w:ind w:left="66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>оформлен ли меморандум о продолжении сотрудничества.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color w:val="0F1115"/>
          <w:szCs w:val="24"/>
          <w:lang w:val="ru-RU"/>
        </w:rPr>
        <w:t xml:space="preserve">Устойчивость оценивается не по намерению сторон в момент завершения проекта, а по факту продолжения практик в точке </w:t>
      </w:r>
      <w:r w:rsidRPr="00F078DF">
        <w:rPr>
          <w:rFonts w:cs="Times New Roman"/>
          <w:color w:val="0F1115"/>
          <w:szCs w:val="24"/>
        </w:rPr>
        <w:t>T</w:t>
      </w:r>
      <w:r w:rsidRPr="00F078DF">
        <w:rPr>
          <w:rFonts w:cs="Times New Roman"/>
          <w:color w:val="0F1115"/>
          <w:szCs w:val="24"/>
          <w:lang w:val="ru-RU"/>
        </w:rPr>
        <w:t xml:space="preserve">6. Решение о втором цикле принимается на основании данных </w:t>
      </w:r>
      <w:r w:rsidRPr="00F078DF">
        <w:rPr>
          <w:rFonts w:cs="Times New Roman"/>
          <w:color w:val="0F1115"/>
          <w:szCs w:val="24"/>
        </w:rPr>
        <w:t>T</w:t>
      </w:r>
      <w:r w:rsidRPr="00F078DF">
        <w:rPr>
          <w:rFonts w:cs="Times New Roman"/>
          <w:color w:val="0F1115"/>
          <w:szCs w:val="24"/>
          <w:lang w:val="ru-RU"/>
        </w:rPr>
        <w:t xml:space="preserve">6, а не только итогов </w:t>
      </w:r>
      <w:r w:rsidRPr="00F078DF">
        <w:rPr>
          <w:rFonts w:cs="Times New Roman"/>
          <w:color w:val="0F1115"/>
          <w:szCs w:val="24"/>
        </w:rPr>
        <w:t>T</w:t>
      </w:r>
      <w:r w:rsidRPr="00F078DF">
        <w:rPr>
          <w:rFonts w:cs="Times New Roman"/>
          <w:color w:val="0F1115"/>
          <w:szCs w:val="24"/>
          <w:lang w:val="ru-RU"/>
        </w:rPr>
        <w:t>4–</w:t>
      </w:r>
      <w:r w:rsidRPr="00F078DF">
        <w:rPr>
          <w:rFonts w:cs="Times New Roman"/>
          <w:color w:val="0F1115"/>
          <w:szCs w:val="24"/>
        </w:rPr>
        <w:t>T</w:t>
      </w:r>
      <w:r w:rsidRPr="00F078DF">
        <w:rPr>
          <w:rFonts w:cs="Times New Roman"/>
          <w:color w:val="0F1115"/>
          <w:szCs w:val="24"/>
          <w:lang w:val="ru-RU"/>
        </w:rPr>
        <w:t>5».</w:t>
      </w:r>
    </w:p>
    <w:p w:rsidR="00C360E5" w:rsidRPr="00F078DF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Cs w:val="24"/>
          <w:lang w:val="ru-RU"/>
        </w:rPr>
      </w:pPr>
      <w:r w:rsidRPr="00F078DF">
        <w:rPr>
          <w:rFonts w:cs="Times New Roman"/>
          <w:b/>
          <w:bCs/>
          <w:color w:val="0F1115"/>
          <w:szCs w:val="24"/>
          <w:lang w:val="ru-RU"/>
        </w:rPr>
        <w:t>Какое замечание закрывает:</w:t>
      </w:r>
      <w:r w:rsidRPr="00F078DF">
        <w:rPr>
          <w:rFonts w:cs="Times New Roman"/>
          <w:color w:val="0F1115"/>
          <w:szCs w:val="24"/>
        </w:rPr>
        <w:t> </w:t>
      </w:r>
      <w:r w:rsidRPr="00F078DF">
        <w:rPr>
          <w:rFonts w:cs="Times New Roman"/>
          <w:color w:val="0F1115"/>
          <w:szCs w:val="24"/>
          <w:lang w:val="ru-RU"/>
        </w:rPr>
        <w:t>Эксперт 1, замечание 7.</w:t>
      </w:r>
    </w:p>
    <w:p w:rsidR="00C360E5" w:rsidRPr="00C360E5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rPr>
          <w:rFonts w:cs="Times New Roman"/>
          <w:color w:val="0F1115"/>
          <w:sz w:val="96"/>
          <w:szCs w:val="24"/>
        </w:rPr>
      </w:pPr>
    </w:p>
    <w:p w:rsidR="00C360E5" w:rsidRPr="00C360E5" w:rsidRDefault="00C360E5" w:rsidP="00C360E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hd w:val="clear" w:color="auto" w:fill="FFFFFF"/>
        <w:spacing w:after="0"/>
        <w:outlineLvl w:val="1"/>
        <w:rPr>
          <w:rFonts w:cs="Times New Roman"/>
          <w:b/>
          <w:bCs/>
          <w:color w:val="0F1115"/>
          <w:szCs w:val="24"/>
          <w:lang w:val="ru-RU"/>
        </w:rPr>
      </w:pPr>
      <w:r w:rsidRPr="00C360E5">
        <w:rPr>
          <w:rFonts w:cs="Times New Roman"/>
          <w:b/>
          <w:bCs/>
          <w:color w:val="0F1115"/>
          <w:szCs w:val="24"/>
          <w:highlight w:val="yellow"/>
          <w:lang w:val="ru-RU"/>
        </w:rPr>
        <w:lastRenderedPageBreak/>
        <w:t xml:space="preserve">ИТОГОВАЯ ТАБЛИЦА ДЛЯ </w:t>
      </w:r>
      <w:r w:rsidRPr="00C360E5">
        <w:rPr>
          <w:rFonts w:cs="Times New Roman"/>
          <w:b/>
          <w:bCs/>
          <w:color w:val="0F1115"/>
          <w:szCs w:val="24"/>
          <w:highlight w:val="yellow"/>
          <w:lang w:val="ru-RU"/>
        </w:rPr>
        <w:t>СВЕРКИ И ДОРАБОТКИ</w:t>
      </w:r>
      <w:bookmarkStart w:id="0" w:name="_GoBack"/>
      <w:bookmarkEnd w:id="0"/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tbl>
      <w:tblPr>
        <w:tblStyle w:val="a5"/>
        <w:tblW w:w="13603" w:type="dxa"/>
        <w:tblLook w:val="04A0" w:firstRow="1" w:lastRow="0" w:firstColumn="1" w:lastColumn="0" w:noHBand="0" w:noVBand="1"/>
      </w:tblPr>
      <w:tblGrid>
        <w:gridCol w:w="562"/>
        <w:gridCol w:w="2712"/>
        <w:gridCol w:w="4801"/>
        <w:gridCol w:w="3544"/>
        <w:gridCol w:w="1984"/>
      </w:tblGrid>
      <w:tr w:rsidR="00C360E5" w:rsidTr="00C360E5">
        <w:tc>
          <w:tcPr>
            <w:tcW w:w="562" w:type="dxa"/>
            <w:vAlign w:val="center"/>
          </w:tcPr>
          <w:p w:rsidR="00C360E5" w:rsidRPr="00F078DF" w:rsidRDefault="00C360E5" w:rsidP="00C360E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№</w:t>
            </w:r>
          </w:p>
        </w:tc>
        <w:tc>
          <w:tcPr>
            <w:tcW w:w="2712" w:type="dxa"/>
            <w:vAlign w:val="center"/>
          </w:tcPr>
          <w:p w:rsidR="00C360E5" w:rsidRPr="00F078DF" w:rsidRDefault="00C360E5" w:rsidP="00C360E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Замечание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эксперта</w:t>
            </w:r>
            <w:proofErr w:type="spellEnd"/>
          </w:p>
        </w:tc>
        <w:tc>
          <w:tcPr>
            <w:tcW w:w="4801" w:type="dxa"/>
            <w:vAlign w:val="center"/>
          </w:tcPr>
          <w:p w:rsidR="00C360E5" w:rsidRPr="00F078DF" w:rsidRDefault="00C360E5" w:rsidP="00C360E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Ответ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авторского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коллектива</w:t>
            </w:r>
            <w:proofErr w:type="spellEnd"/>
          </w:p>
        </w:tc>
        <w:tc>
          <w:tcPr>
            <w:tcW w:w="3544" w:type="dxa"/>
            <w:vAlign w:val="center"/>
          </w:tcPr>
          <w:p w:rsidR="00C360E5" w:rsidRPr="00F078DF" w:rsidRDefault="00C360E5" w:rsidP="00C360E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Внесенные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изменения</w:t>
            </w:r>
            <w:proofErr w:type="spellEnd"/>
          </w:p>
        </w:tc>
        <w:tc>
          <w:tcPr>
            <w:tcW w:w="1984" w:type="dxa"/>
            <w:vAlign w:val="center"/>
          </w:tcPr>
          <w:p w:rsidR="00C360E5" w:rsidRPr="00F078DF" w:rsidRDefault="00C360E5" w:rsidP="00C360E5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>/</w:t>
            </w:r>
            <w:proofErr w:type="spellStart"/>
            <w:r w:rsidRPr="00F078DF">
              <w:rPr>
                <w:rFonts w:cs="Times New Roman"/>
                <w:szCs w:val="24"/>
              </w:rPr>
              <w:t>страница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новой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редакции</w:t>
            </w:r>
            <w:proofErr w:type="spellEnd"/>
          </w:p>
        </w:tc>
      </w:tr>
    </w:tbl>
    <w:p w:rsidR="00C360E5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"/>
        <w:gridCol w:w="2933"/>
        <w:gridCol w:w="4885"/>
        <w:gridCol w:w="3523"/>
        <w:gridCol w:w="1767"/>
      </w:tblGrid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Э1-1: Необходимо конкретнее определить предмет апробации на уровне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 частично. Предмет апробации связан с семью механизмами сетевого взаимодействия: совместное проектирование, взаимный обмен ресурсами, интеграционный трансфер, совместное наставничество, профессиональное 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взаимообучение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 xml:space="preserve">, совместные решения, устойчивость. Для каждого механизма определены наблюдаемые действия, доказательства и управленческие решения. </w:t>
            </w:r>
            <w:proofErr w:type="spellStart"/>
            <w:r w:rsidRPr="00F078DF">
              <w:rPr>
                <w:rFonts w:cs="Times New Roman"/>
                <w:szCs w:val="24"/>
              </w:rPr>
              <w:t>Полный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объем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МР </w:t>
            </w:r>
            <w:proofErr w:type="spellStart"/>
            <w:r w:rsidRPr="00F078DF">
              <w:rPr>
                <w:rFonts w:cs="Times New Roman"/>
                <w:szCs w:val="24"/>
              </w:rPr>
              <w:t>сохранен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как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операционная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необходимость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Введены сквозная матрица механизмов (табл. 0.4) и матрица доказательств (табл. 0.5); предмет апробации конкретизирован в разделе 1.1.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 (с. 8–9, 16); </w:t>
            </w:r>
            <w:proofErr w:type="spellStart"/>
            <w:r w:rsidRPr="00F078DF">
              <w:rPr>
                <w:rFonts w:cs="Times New Roman"/>
                <w:szCs w:val="24"/>
              </w:rPr>
              <w:t>табл</w:t>
            </w:r>
            <w:proofErr w:type="spellEnd"/>
            <w:r w:rsidRPr="00F078DF">
              <w:rPr>
                <w:rFonts w:cs="Times New Roman"/>
                <w:szCs w:val="24"/>
              </w:rPr>
              <w:t>. 0.4, 0.5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Э1-2: Требуется описать механизм совместного проектирования и подготовки наставников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Описана процедура совместного проектирования: выявление потребности → образовательная проба → формирование рабочей гипотезы → согласование цели, продукта, календаря, нагрузки, ресурсов и рисков. </w:t>
            </w:r>
            <w:proofErr w:type="spellStart"/>
            <w:r w:rsidRPr="00F078DF">
              <w:rPr>
                <w:rFonts w:cs="Times New Roman"/>
                <w:szCs w:val="24"/>
              </w:rPr>
              <w:t>Подготовка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наставников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включает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12-часовую </w:t>
            </w:r>
            <w:proofErr w:type="spellStart"/>
            <w:r w:rsidRPr="00F078DF">
              <w:rPr>
                <w:rFonts w:cs="Times New Roman"/>
                <w:szCs w:val="24"/>
              </w:rPr>
              <w:t>программу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с </w:t>
            </w:r>
            <w:proofErr w:type="spellStart"/>
            <w:r w:rsidRPr="00F078DF">
              <w:rPr>
                <w:rFonts w:cs="Times New Roman"/>
                <w:szCs w:val="24"/>
              </w:rPr>
              <w:t>критериями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допуска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Добавлены разделы по совместному проектированию (5.1), подготовке наставников (2.9.1), программа подготовки (табл. </w:t>
            </w:r>
            <w:r w:rsidRPr="00F078DF">
              <w:rPr>
                <w:rFonts w:cs="Times New Roman"/>
                <w:szCs w:val="24"/>
              </w:rPr>
              <w:t xml:space="preserve">2.32), </w:t>
            </w:r>
            <w:proofErr w:type="spellStart"/>
            <w:r w:rsidRPr="00F078DF">
              <w:rPr>
                <w:rFonts w:cs="Times New Roman"/>
                <w:szCs w:val="24"/>
              </w:rPr>
              <w:t>кодекс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поведения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Х).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2.9.1, 5.1; 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Х (с. 131)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Э1-3: Необходимо фиксировать фактическое использование ресурсов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Введен журнал фактического взаимного использования ресурсов, фиксирующий владельца, </w:t>
            </w:r>
            <w:r w:rsidRPr="00F078DF">
              <w:rPr>
                <w:rFonts w:cs="Times New Roman"/>
                <w:szCs w:val="24"/>
                <w:lang w:val="ru-RU"/>
              </w:rPr>
              <w:lastRenderedPageBreak/>
              <w:t>получателя, назначение, дату, объем, подтверждение и результат.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lastRenderedPageBreak/>
              <w:t xml:space="preserve">Добавлен раздел 3.3 «Подтверждение взаимного </w:t>
            </w:r>
            <w:r w:rsidRPr="00F078DF">
              <w:rPr>
                <w:rFonts w:cs="Times New Roman"/>
                <w:szCs w:val="24"/>
                <w:lang w:val="ru-RU"/>
              </w:rPr>
              <w:lastRenderedPageBreak/>
              <w:t xml:space="preserve">использования ресурсов»; форма журнала (табл. </w:t>
            </w:r>
            <w:r w:rsidRPr="00F078DF">
              <w:rPr>
                <w:rFonts w:cs="Times New Roman"/>
                <w:szCs w:val="24"/>
              </w:rPr>
              <w:t>3.15).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lastRenderedPageBreak/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3.3 (с. 51); </w:t>
            </w:r>
            <w:proofErr w:type="spellStart"/>
            <w:r w:rsidRPr="00F078DF">
              <w:rPr>
                <w:rFonts w:cs="Times New Roman"/>
                <w:szCs w:val="24"/>
              </w:rPr>
              <w:t>табл</w:t>
            </w:r>
            <w:proofErr w:type="spellEnd"/>
            <w:r w:rsidRPr="00F078DF">
              <w:rPr>
                <w:rFonts w:cs="Times New Roman"/>
                <w:szCs w:val="24"/>
              </w:rPr>
              <w:t>. 3.15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Э1-4: Необходимо конкретизировать механизм трансфера технологий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Описан полный документируемый цикл интеграционного трансфера: выбор объекта → подготовка пакета → 12-часовая подготовка → адаптация → первое применение → оценка верности → корректировка → повторное применение → акт внедрения → проверка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Добавлены раздел 5.5, Паспорт трансфера (Приложение Ш), Чек-лист внедрения (Приложение Щ).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5.5 (с. 75–76); Приложения Ш, Щ (с. 134–135)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Э1-5: Требуется определить механизм профессионального 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взаимообучения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Профессиональное 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взаимообучение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 xml:space="preserve"> встроено в совместное проектирование, наблюдение практики, разбор кейсов, взаимную обратную связь и повторное применение методики.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Изменения фиксируются в документах маршрута и трансфера, чек-листе верности, интервью и итоговом отчете.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Разделы 5.1, 5.5; Приложения У, Ш, Щ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Э1-6: Следует проверять фактическое совместное принятие решений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Введен журнал совместных решений, фиксирующий дату, вопрос, позиции сторон, решение, ответственного, срок и результат.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Добавлен Приложение Ю «Журнал совместных решений»; контрольные точки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0–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Ю (с. 137); </w:t>
            </w: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6.4, 2.3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Э1-7: Необходимо оценивать устойчивость практик после завершения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Устойчивость выделена как самостоятельный предмет мониторинга с проверкой в точке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6 через 3–4 месяца после завершения.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Добавлен раздел 8.2 «Устойчивость модели»; критерии проверки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6.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8.2 (с. 102–104)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Э1-8: Заменить «ВУЗ» на «ОВПО»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В нормативно значимых формулировках используется термин ОВПО. </w:t>
            </w:r>
            <w:proofErr w:type="spellStart"/>
            <w:r w:rsidRPr="00F078DF">
              <w:rPr>
                <w:rFonts w:cs="Times New Roman"/>
                <w:szCs w:val="24"/>
              </w:rPr>
              <w:t>Название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«</w:t>
            </w:r>
            <w:proofErr w:type="spellStart"/>
            <w:r w:rsidRPr="00F078DF">
              <w:rPr>
                <w:rFonts w:cs="Times New Roman"/>
                <w:szCs w:val="24"/>
              </w:rPr>
              <w:t>Школа</w:t>
            </w:r>
            <w:proofErr w:type="spellEnd"/>
            <w:r w:rsidRPr="00F078DF">
              <w:rPr>
                <w:rFonts w:cs="Times New Roman"/>
                <w:szCs w:val="24"/>
              </w:rPr>
              <w:t>–</w:t>
            </w:r>
            <w:proofErr w:type="spellStart"/>
            <w:r w:rsidRPr="00F078DF">
              <w:rPr>
                <w:rFonts w:cs="Times New Roman"/>
                <w:szCs w:val="24"/>
              </w:rPr>
              <w:t>Университет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» </w:t>
            </w:r>
            <w:proofErr w:type="spellStart"/>
            <w:r w:rsidRPr="00F078DF">
              <w:rPr>
                <w:rFonts w:cs="Times New Roman"/>
                <w:szCs w:val="24"/>
              </w:rPr>
              <w:t>сохранено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как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коммуникативное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наименование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Термин «ВУЗ» заменен на «ОВПО» во всех нормативных формулировках.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1.1, 2.1–2.17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lastRenderedPageBreak/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Э1-9: Устранить технические недочеты верстки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Проведена техническая редакция документа.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Унифицированы шрифты, интервалы, выравнивание, устранены лишние разрывы и дублирование.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Весь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документ</w:t>
            </w:r>
            <w:proofErr w:type="spellEnd"/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Э1-10: Дополнить показатели сетевыми индикаторами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Введены сетевые индикаторы: совместное проектирование, фактический обмен ресурсами, полный цикл трансфера, профессиональное 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взаимообучение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>, совместные решения, устойчивость.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Добавлены сетевые индикаторы в раздел 7.1, табл. </w:t>
            </w:r>
            <w:r w:rsidRPr="00F078DF">
              <w:rPr>
                <w:rFonts w:cs="Times New Roman"/>
                <w:szCs w:val="24"/>
              </w:rPr>
              <w:t xml:space="preserve">7.4, 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П.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7.1 (с. 82–86); Приложение П (с. 125)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Э1-11: Обеспечить логическую связанность документа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Введены сквозная матрица механизмов, матрица доказательств, разграничение образовательных, профессиональных, организационных и сетевых результатов.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Добавлены табл. 0.4, 0.5; раздел 7.1 с уровнями оценки.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1.1, 7.1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Э2-1: Четко определить критерии сетевого взаимодействия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В качестве отличительных признаков сети закреплены: взаимность обмена, совместное проектирование, совместное принятие решений, интеграционный трансфер, профессиональное 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взаимообучение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 xml:space="preserve"> и устойчивость.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Добавлены критерии сетевого эффекта в раздел 1.1 и 7.1.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 (с. 8–9); </w:t>
            </w: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7.1 (с. 82–86)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Э2-2: Устранить противоречие по числу ОВПО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 частично. Первый пилот реализуется одной ОВПО-оператором. Дополнительные ОВПО — при наличии ресурса и соглашения. Обязательный порог «не менее двух ОВПО» не используется.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Уточнена конфигурация первого пилота в разделе 1.1; исправлена табл. </w:t>
            </w:r>
            <w:r w:rsidRPr="00F078DF">
              <w:rPr>
                <w:rFonts w:cs="Times New Roman"/>
                <w:szCs w:val="24"/>
              </w:rPr>
              <w:t>7.4.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 (с. 16); </w:t>
            </w:r>
            <w:proofErr w:type="spellStart"/>
            <w:r w:rsidRPr="00F078DF">
              <w:rPr>
                <w:rFonts w:cs="Times New Roman"/>
                <w:szCs w:val="24"/>
              </w:rPr>
              <w:t>табл</w:t>
            </w:r>
            <w:proofErr w:type="spellEnd"/>
            <w:r w:rsidRPr="00F078DF">
              <w:rPr>
                <w:rFonts w:cs="Times New Roman"/>
                <w:szCs w:val="24"/>
              </w:rPr>
              <w:t>. 7.4 (с. 84–85)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lastRenderedPageBreak/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Э2-3: Унифицировать порог наставнических встреч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Порог унифицирован: не менее 85% запланированных содержательных встреч.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Порог 85% применен во всех показателях, критериях и формах.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1.2 (с. 21); Приложение Л (с. 121)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Э2-4: Устранить противоречие по процентному приросту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Относительный процентный прирост по порядковой шкале не рассчитывается. </w:t>
            </w:r>
            <w:proofErr w:type="spellStart"/>
            <w:r w:rsidRPr="00F078DF">
              <w:rPr>
                <w:rFonts w:cs="Times New Roman"/>
                <w:szCs w:val="24"/>
              </w:rPr>
              <w:t>Порог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15% </w:t>
            </w:r>
            <w:proofErr w:type="spellStart"/>
            <w:r w:rsidRPr="00F078DF">
              <w:rPr>
                <w:rFonts w:cs="Times New Roman"/>
                <w:szCs w:val="24"/>
              </w:rPr>
              <w:t>исключен</w:t>
            </w:r>
            <w:proofErr w:type="spellEnd"/>
            <w:r w:rsidRPr="00F078DF">
              <w:rPr>
                <w:rFonts w:cs="Times New Roman"/>
                <w:szCs w:val="24"/>
              </w:rPr>
              <w:t>. </w:t>
            </w:r>
            <w:proofErr w:type="spellStart"/>
            <w:r w:rsidRPr="00F078DF">
              <w:rPr>
                <w:rFonts w:cs="Times New Roman"/>
                <w:b/>
                <w:bCs/>
                <w:szCs w:val="24"/>
              </w:rPr>
              <w:t>Строка</w:t>
            </w:r>
            <w:proofErr w:type="spellEnd"/>
            <w:r w:rsidRPr="00F078DF">
              <w:rPr>
                <w:rFonts w:cs="Times New Roman"/>
                <w:b/>
                <w:bCs/>
                <w:szCs w:val="24"/>
              </w:rPr>
              <w:t xml:space="preserve"> в </w:t>
            </w:r>
            <w:proofErr w:type="spellStart"/>
            <w:r w:rsidRPr="00F078DF">
              <w:rPr>
                <w:rFonts w:cs="Times New Roman"/>
                <w:b/>
                <w:bCs/>
                <w:szCs w:val="24"/>
              </w:rPr>
              <w:t>табл</w:t>
            </w:r>
            <w:proofErr w:type="spellEnd"/>
            <w:r w:rsidRPr="00F078DF">
              <w:rPr>
                <w:rFonts w:cs="Times New Roman"/>
                <w:b/>
                <w:bCs/>
                <w:szCs w:val="24"/>
              </w:rPr>
              <w:t xml:space="preserve">. 7.4 </w:t>
            </w:r>
            <w:proofErr w:type="spellStart"/>
            <w:r w:rsidRPr="00F078DF">
              <w:rPr>
                <w:rFonts w:cs="Times New Roman"/>
                <w:b/>
                <w:bCs/>
                <w:szCs w:val="24"/>
              </w:rPr>
              <w:t>удалена</w:t>
            </w:r>
            <w:proofErr w:type="spellEnd"/>
            <w:r w:rsidRPr="00F078DF">
              <w:rPr>
                <w:rFonts w:cs="Times New Roman"/>
                <w:b/>
                <w:bCs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Удалена строка «Средний прирост результата ≥15%»; добавлены корректные показатели динамики.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7.1 (с. 90); табл. 7.4 (будет исправлено)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Э2-5: Зафиксировать окончательный набор показателей до </w:t>
            </w:r>
            <w:r w:rsidRPr="00F078DF">
              <w:rPr>
                <w:rFonts w:cs="Times New Roman"/>
                <w:szCs w:val="24"/>
              </w:rPr>
              <w:t>T</w:t>
            </w:r>
            <w:r w:rsidRPr="00F078DF">
              <w:rPr>
                <w:rFonts w:cs="Times New Roman"/>
                <w:szCs w:val="24"/>
                <w:lang w:val="ru-RU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 частично. Числовые значения — управленческие ориентиры первого цикла. </w:t>
            </w:r>
            <w:proofErr w:type="spellStart"/>
            <w:r w:rsidRPr="00F078DF">
              <w:rPr>
                <w:rFonts w:cs="Times New Roman"/>
                <w:szCs w:val="24"/>
              </w:rPr>
              <w:t>Окончательные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ориентиры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утверждаются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университетом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T0.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Добавлено разъяснение статуса показателей в разделе 1.2 и 7.1.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1.2 (с. 21); </w:t>
            </w: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7.1 (с. 84–85)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Э2-6: Разграничить реализуемость и эффективность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Первый пилот оценивает реализуемость, работоспособность и предварительную динамику, а не причинную эффективность. </w:t>
            </w:r>
            <w:proofErr w:type="spellStart"/>
            <w:r w:rsidRPr="00F078DF">
              <w:rPr>
                <w:rFonts w:cs="Times New Roman"/>
                <w:szCs w:val="24"/>
              </w:rPr>
              <w:t>Глава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7 </w:t>
            </w:r>
            <w:proofErr w:type="spellStart"/>
            <w:r w:rsidRPr="00F078DF">
              <w:rPr>
                <w:rFonts w:cs="Times New Roman"/>
                <w:szCs w:val="24"/>
              </w:rPr>
              <w:t>переименована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Глава 7 переименована; добавлены </w:t>
            </w:r>
            <w:r w:rsidRPr="00F078DF">
              <w:rPr>
                <w:rFonts w:cs="Times New Roman"/>
                <w:szCs w:val="24"/>
              </w:rPr>
              <w:t>AIM</w:t>
            </w:r>
            <w:r w:rsidRPr="00F078DF">
              <w:rPr>
                <w:rFonts w:cs="Times New Roman"/>
                <w:szCs w:val="24"/>
                <w:lang w:val="ru-RU"/>
              </w:rPr>
              <w:t>–</w:t>
            </w:r>
            <w:r w:rsidRPr="00F078DF">
              <w:rPr>
                <w:rFonts w:cs="Times New Roman"/>
                <w:szCs w:val="24"/>
              </w:rPr>
              <w:t>IAM</w:t>
            </w:r>
            <w:r w:rsidRPr="00F078DF">
              <w:rPr>
                <w:rFonts w:cs="Times New Roman"/>
                <w:szCs w:val="24"/>
                <w:lang w:val="ru-RU"/>
              </w:rPr>
              <w:t>–</w:t>
            </w:r>
            <w:r w:rsidRPr="00F078DF">
              <w:rPr>
                <w:rFonts w:cs="Times New Roman"/>
                <w:szCs w:val="24"/>
              </w:rPr>
              <w:t>FIM</w:t>
            </w:r>
            <w:r w:rsidRPr="00F078DF">
              <w:rPr>
                <w:rFonts w:cs="Times New Roman"/>
                <w:szCs w:val="24"/>
                <w:lang w:val="ru-RU"/>
              </w:rPr>
              <w:t>; установлены ограничения причинной интерпретации.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Глава 7 (с. 82–98); Приложение Э (с. 136)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 xml:space="preserve">Э3-1: </w:t>
            </w:r>
            <w:proofErr w:type="spellStart"/>
            <w:r w:rsidRPr="00F078DF">
              <w:rPr>
                <w:rFonts w:cs="Times New Roman"/>
                <w:szCs w:val="24"/>
              </w:rPr>
              <w:t>Конкретизировать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предмет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апробации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Все семь механизмов включены в предмет апробации с наблюдаемыми действиями, доказательствами и решениями.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Добавлены сквозная матрица и матрица доказательств.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 (с. 8–9)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Э3-2: Описать процедуру совместного проектирования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Описана процедура совместного проектирования с фиксацией вклада трех сторон.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Добавлены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4.2, 5.1; 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4.2, 5.1 (с. 64–67)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Э3-3: Уточнить систему подготовки наставников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Подготовку организует координатор университета; 12-часовая программа; критерии допуска; кодекс поведения.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Добавлены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2.9.1, 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2.9.1 (с. 35–37); Приложение Х (с. 131)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Э3-4: Пояснить отличие трансфера от разовых консультаций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Интеграционный трансфер определен как организованный, взаимный и документируемый перенос методики с адаптацией, повторным применением и актом внедрения.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Добавлены раздел 5.5, Приложение Ш, Щ.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5.5 (с. 75–76); Приложения Ш, Щ (с. 134–135)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 xml:space="preserve">Э3-5: </w:t>
            </w:r>
            <w:proofErr w:type="spellStart"/>
            <w:r w:rsidRPr="00F078DF">
              <w:rPr>
                <w:rFonts w:cs="Times New Roman"/>
                <w:szCs w:val="24"/>
              </w:rPr>
              <w:t>Конкретизировать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передаваемые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технологии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 частично. Для первого цикла объектом трансфера определена комплексная методика проектно-исследовательского обучения. </w:t>
            </w:r>
            <w:proofErr w:type="spellStart"/>
            <w:r w:rsidRPr="00F078DF">
              <w:rPr>
                <w:rFonts w:cs="Times New Roman"/>
                <w:szCs w:val="24"/>
              </w:rPr>
              <w:t>Конкретный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объект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фиксируется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в </w:t>
            </w:r>
            <w:proofErr w:type="spellStart"/>
            <w:r w:rsidRPr="00F078DF">
              <w:rPr>
                <w:rFonts w:cs="Times New Roman"/>
                <w:szCs w:val="24"/>
              </w:rPr>
              <w:t>паспорте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трансфера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до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запуска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Добавлен раздел 1.1 с описанием объекта трансфера первого цикла; Приложение Ш.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1.1 (с. 16); Приложение Ш (с. 134)</w:t>
            </w:r>
          </w:p>
        </w:tc>
      </w:tr>
      <w:tr w:rsidR="00C360E5" w:rsidRPr="00C360E5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Э3-6: Конкретизировать роль «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Дарын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>» и ДО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 частично. «</w:t>
            </w:r>
            <w:proofErr w:type="spellStart"/>
            <w:r w:rsidRPr="00F078DF">
              <w:rPr>
                <w:rFonts w:cs="Times New Roman"/>
                <w:szCs w:val="24"/>
                <w:lang w:val="ru-RU"/>
              </w:rPr>
              <w:t>Дарын</w:t>
            </w:r>
            <w:proofErr w:type="spellEnd"/>
            <w:r w:rsidRPr="00F078DF">
              <w:rPr>
                <w:rFonts w:cs="Times New Roman"/>
                <w:szCs w:val="24"/>
                <w:lang w:val="ru-RU"/>
              </w:rPr>
              <w:t>» и ДО — партнеры экосистемы, подключаемые по потребности маршрута, а не постоянные субъекты сети.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Уточнена роль в разделе 1.1 и </w:t>
            </w:r>
            <w:r w:rsidRPr="00F078DF">
              <w:rPr>
                <w:rFonts w:cs="Times New Roman"/>
                <w:szCs w:val="24"/>
              </w:rPr>
              <w:t>RACI</w:t>
            </w:r>
            <w:r w:rsidRPr="00F078DF">
              <w:rPr>
                <w:rFonts w:cs="Times New Roman"/>
                <w:szCs w:val="24"/>
                <w:lang w:val="ru-RU"/>
              </w:rPr>
              <w:t>-матрице (Приложение Д).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Раздел 1.1 (с. 10–16); Приложение Д (с. 115)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Э3-7: Установить новые возможности объединения ресурсов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принято. Раскрыты новые образовательные и профессиональные возможности: доступ к лабораториям, оборудованию, базам данных, наставникам, профессиональным пробам, совместным маршрутам, переносу методик.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Добавлены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1.1, 3.1.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1.1, 3.1 (с. 10–16, 45–52)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lastRenderedPageBreak/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Э3-8: Разграничить аудиторию модели и первого пилота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  <w:lang w:val="ru-RU"/>
              </w:rPr>
              <w:t xml:space="preserve">Замечание принято. Потенциальная область — 1–11 классы. </w:t>
            </w:r>
            <w:proofErr w:type="spellStart"/>
            <w:r w:rsidRPr="00F078DF">
              <w:rPr>
                <w:rFonts w:cs="Times New Roman"/>
                <w:szCs w:val="24"/>
              </w:rPr>
              <w:t>Первый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</w:t>
            </w:r>
            <w:proofErr w:type="spellStart"/>
            <w:r w:rsidRPr="00F078DF">
              <w:rPr>
                <w:rFonts w:cs="Times New Roman"/>
                <w:szCs w:val="24"/>
              </w:rPr>
              <w:t>пилот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— 7–11 </w:t>
            </w:r>
            <w:proofErr w:type="spellStart"/>
            <w:r w:rsidRPr="00F078DF">
              <w:rPr>
                <w:rFonts w:cs="Times New Roman"/>
                <w:szCs w:val="24"/>
              </w:rPr>
              <w:t>классы</w:t>
            </w:r>
            <w:proofErr w:type="spellEnd"/>
            <w:r w:rsidRPr="00F078DF">
              <w:rPr>
                <w:rFonts w:cs="Times New Roman"/>
                <w:szCs w:val="24"/>
              </w:rPr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Уточнены возрастные границы в разделе 1.1 и 4.1.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1.1 (с. 16); </w:t>
            </w:r>
            <w:proofErr w:type="spellStart"/>
            <w:r w:rsidRPr="00F078DF">
              <w:rPr>
                <w:rFonts w:cs="Times New Roman"/>
                <w:szCs w:val="24"/>
              </w:rPr>
              <w:t>раздел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4.1 (с. 58)</w:t>
            </w:r>
          </w:p>
        </w:tc>
      </w:tr>
      <w:tr w:rsidR="00C360E5" w:rsidRPr="00F078DF" w:rsidTr="00252B4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r w:rsidRPr="00F078DF">
              <w:rPr>
                <w:rFonts w:cs="Times New Roman"/>
                <w:szCs w:val="24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Э3-9: Унифицировать наименование коллегиального органа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Замечание принято частично. Во всей операционной части используется единое наименование «координационная группа».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  <w:lang w:val="ru-RU"/>
              </w:rPr>
            </w:pPr>
            <w:r w:rsidRPr="00F078DF">
              <w:rPr>
                <w:rFonts w:cs="Times New Roman"/>
                <w:szCs w:val="24"/>
                <w:lang w:val="ru-RU"/>
              </w:rPr>
              <w:t>Термин «координационный совет» заменен на «координационная группа».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60E5" w:rsidRPr="00F078DF" w:rsidRDefault="00C360E5" w:rsidP="00252B40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rPr>
                <w:rFonts w:cs="Times New Roman"/>
                <w:szCs w:val="24"/>
              </w:rPr>
            </w:pPr>
            <w:proofErr w:type="spellStart"/>
            <w:r w:rsidRPr="00F078DF">
              <w:rPr>
                <w:rFonts w:cs="Times New Roman"/>
                <w:szCs w:val="24"/>
              </w:rPr>
              <w:t>Разделы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2.3, 2.10, 2.17; </w:t>
            </w:r>
            <w:proofErr w:type="spellStart"/>
            <w:r w:rsidRPr="00F078DF">
              <w:rPr>
                <w:rFonts w:cs="Times New Roman"/>
                <w:szCs w:val="24"/>
              </w:rPr>
              <w:t>Приложение</w:t>
            </w:r>
            <w:proofErr w:type="spellEnd"/>
            <w:r w:rsidRPr="00F078DF">
              <w:rPr>
                <w:rFonts w:cs="Times New Roman"/>
                <w:szCs w:val="24"/>
              </w:rPr>
              <w:t xml:space="preserve"> Д</w:t>
            </w:r>
          </w:p>
        </w:tc>
      </w:tr>
    </w:tbl>
    <w:p w:rsidR="00C360E5" w:rsidRPr="009A5267" w:rsidRDefault="00C360E5" w:rsidP="009A5267">
      <w:pPr>
        <w:spacing w:after="0" w:line="240" w:lineRule="auto"/>
        <w:rPr>
          <w:rFonts w:ascii="Arial" w:hAnsi="Arial" w:cs="Arial"/>
          <w:sz w:val="24"/>
          <w:szCs w:val="28"/>
          <w:lang w:val="ru-RU"/>
        </w:rPr>
      </w:pPr>
    </w:p>
    <w:sectPr w:rsidR="00C360E5" w:rsidRPr="009A5267" w:rsidSect="009A5267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56620"/>
    <w:multiLevelType w:val="hybridMultilevel"/>
    <w:tmpl w:val="5B0AF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71680"/>
    <w:multiLevelType w:val="hybridMultilevel"/>
    <w:tmpl w:val="50CAC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6F93"/>
    <w:multiLevelType w:val="multilevel"/>
    <w:tmpl w:val="5C64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C6534"/>
    <w:multiLevelType w:val="hybridMultilevel"/>
    <w:tmpl w:val="9482DAF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D796B"/>
    <w:multiLevelType w:val="hybridMultilevel"/>
    <w:tmpl w:val="CC3A6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E4D01"/>
    <w:multiLevelType w:val="hybridMultilevel"/>
    <w:tmpl w:val="DC8A1E16"/>
    <w:lvl w:ilvl="0" w:tplc="94A641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24127D"/>
    <w:multiLevelType w:val="multilevel"/>
    <w:tmpl w:val="F42E3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F62C3D"/>
    <w:multiLevelType w:val="hybridMultilevel"/>
    <w:tmpl w:val="00C83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D7EB0"/>
    <w:multiLevelType w:val="multilevel"/>
    <w:tmpl w:val="E848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22006F"/>
    <w:multiLevelType w:val="multilevel"/>
    <w:tmpl w:val="A86A9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67"/>
    <w:rsid w:val="002F00D0"/>
    <w:rsid w:val="004B320C"/>
    <w:rsid w:val="00562BA3"/>
    <w:rsid w:val="0074125F"/>
    <w:rsid w:val="00847270"/>
    <w:rsid w:val="00946E45"/>
    <w:rsid w:val="009A5267"/>
    <w:rsid w:val="00A861AD"/>
    <w:rsid w:val="00AC1E73"/>
    <w:rsid w:val="00B33F02"/>
    <w:rsid w:val="00C360E5"/>
    <w:rsid w:val="00D176EC"/>
    <w:rsid w:val="00D61370"/>
    <w:rsid w:val="00E6002A"/>
    <w:rsid w:val="00FA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7481B"/>
  <w15:chartTrackingRefBased/>
  <w15:docId w15:val="{B0DFD6EC-C07A-47C0-AC65-62235DDF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5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A52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A52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2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A526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A526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9A5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A5267"/>
    <w:rPr>
      <w:b/>
      <w:bCs/>
    </w:rPr>
  </w:style>
  <w:style w:type="paragraph" w:styleId="a4">
    <w:name w:val="List Paragraph"/>
    <w:basedOn w:val="a"/>
    <w:uiPriority w:val="34"/>
    <w:qFormat/>
    <w:rsid w:val="00A861AD"/>
    <w:pPr>
      <w:ind w:left="720"/>
      <w:contextualSpacing/>
    </w:pPr>
  </w:style>
  <w:style w:type="table" w:styleId="a5">
    <w:name w:val="Table Grid"/>
    <w:basedOn w:val="a1"/>
    <w:uiPriority w:val="39"/>
    <w:rsid w:val="00A8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561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0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3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3909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32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38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37</Pages>
  <Words>8655</Words>
  <Characters>49337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2026-08-23T00:57:00Z</dcterms:created>
  <dcterms:modified xsi:type="dcterms:W3CDTF">2026-08-23T03:00:00Z</dcterms:modified>
</cp:coreProperties>
</file>